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94B" w:rsidRDefault="0074794B" w:rsidP="0074794B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0" w:name="中国绿茶行业发展回顾与市场前景预测报告（2019-2025年）"/>
      <w:r>
        <w:rPr>
          <w:rFonts w:ascii="宋体" w:eastAsia="宋体" w:hAnsi="宋体" w:hint="eastAsia"/>
          <w:sz w:val="24"/>
          <w:szCs w:val="24"/>
        </w:rPr>
        <w:t>绿茶</w:t>
      </w:r>
    </w:p>
    <w:p w:rsidR="0074794B" w:rsidRDefault="0074794B" w:rsidP="0074794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中国绿茶行业发展回顾与市场前景预测报告（</w:t>
      </w:r>
      <w:r w:rsidR="005B6621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年）</w:t>
      </w:r>
      <w:bookmarkEnd w:id="0"/>
    </w:p>
    <w:p w:rsidR="003715C5" w:rsidRDefault="005B6621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</w:t>
      </w:r>
      <w:r>
        <w:rPr>
          <w:rFonts w:ascii="宋体" w:eastAsia="宋体" w:hAnsi="宋体" w:hint="eastAsia"/>
          <w:sz w:val="24"/>
          <w:szCs w:val="24"/>
        </w:rPr>
        <w:t>180131</w:t>
      </w:r>
      <w:r>
        <w:rPr>
          <w:rFonts w:ascii="宋体" w:eastAsia="宋体" w:hAnsi="宋体" w:hint="eastAsia"/>
          <w:sz w:val="24"/>
          <w:szCs w:val="24"/>
        </w:rPr>
        <w:t>SP240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_GoBack"/>
      <w:bookmarkEnd w:id="1"/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年中国茶产业运营态势分析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国际茶叶市场运营总况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一、世界茶叶种植概况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二、世界茶叶市场产销情况分析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三、国际茶叶政策及标准状况对产业影响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四、世界茶叶市场竞争也日益尖锐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五、世界茶叶新的经营方式分析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六、世界茶叶市场价格监测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七、世界茶叶</w:t>
      </w:r>
      <w:hyperlink r:id="rId5" w:tgtFrame="http://www.cir.cn/9/39/_blank" w:tooltip="贸易市场调研与前景预测" w:history="1">
        <w:r>
          <w:rPr>
            <w:rFonts w:ascii="宋体" w:eastAsia="宋体" w:hAnsi="宋体" w:hint="eastAsia"/>
            <w:sz w:val="24"/>
            <w:szCs w:val="24"/>
          </w:rPr>
          <w:t>贸易</w:t>
        </w:r>
      </w:hyperlink>
      <w:r>
        <w:rPr>
          <w:rFonts w:ascii="宋体" w:eastAsia="宋体" w:hAnsi="宋体" w:hint="eastAsia"/>
          <w:sz w:val="24"/>
          <w:szCs w:val="24"/>
        </w:rPr>
        <w:t>市场分析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年中国茶产业运行现状综述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一、中国茶产业进入发展新阶段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二、中国茶园种植规模及分布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三、我国茶叶需从名茶走向品牌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四、我国茶业连</w:t>
      </w:r>
      <w:hyperlink r:id="rId6" w:tgtFrame="http://www.cir.cn/9/39/_blank" w:tooltip="锁发展前景分析预测" w:history="1">
        <w:r>
          <w:rPr>
            <w:rFonts w:ascii="宋体" w:eastAsia="宋体" w:hAnsi="宋体" w:hint="eastAsia"/>
            <w:sz w:val="24"/>
            <w:szCs w:val="24"/>
          </w:rPr>
          <w:t>锁</w:t>
        </w:r>
      </w:hyperlink>
      <w:r>
        <w:rPr>
          <w:rFonts w:ascii="宋体" w:eastAsia="宋体" w:hAnsi="宋体" w:hint="eastAsia"/>
          <w:sz w:val="24"/>
          <w:szCs w:val="24"/>
        </w:rPr>
        <w:t>模式分析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五、中国茶叶行业对科技的需求分析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六、茶叶产业水平及茶叶质量控制研究取得突破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七、我国茶企品牌探索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年中国茶叶市场分析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一、中国茶产量分析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二、国内外市场需求稳定增长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中国绿茶行业发展环境分析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国内宏观经济环境分析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GDP</w:t>
      </w:r>
      <w:r>
        <w:rPr>
          <w:rFonts w:ascii="宋体" w:eastAsia="宋体" w:hAnsi="宋体" w:hint="eastAsia"/>
          <w:sz w:val="24"/>
          <w:szCs w:val="24"/>
        </w:rPr>
        <w:t>历史变动轨迹分析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二、固定资产投资历史变动轨迹分析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三、2019</w:t>
      </w:r>
      <w:r>
        <w:rPr>
          <w:rFonts w:ascii="宋体" w:eastAsia="宋体" w:hAnsi="宋体" w:hint="eastAsia"/>
          <w:sz w:val="24"/>
          <w:szCs w:val="24"/>
        </w:rPr>
        <w:t>年中国宏观经济发展预测分析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中国绿茶行业政策环境分析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年国内绿茶行业（所属行业）数据监测分析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年中国绿茶行业（所属行业）总体数据分析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一、2019</w:t>
      </w:r>
      <w:r>
        <w:rPr>
          <w:rFonts w:ascii="宋体" w:eastAsia="宋体" w:hAnsi="宋体" w:hint="eastAsia"/>
          <w:sz w:val="24"/>
          <w:szCs w:val="24"/>
        </w:rPr>
        <w:t>年中国绿茶行业全部企业（所属行业）数据分析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年中国绿茶行业</w:t>
      </w:r>
      <w:r>
        <w:rPr>
          <w:rFonts w:ascii="宋体" w:eastAsia="宋体" w:hAnsi="宋体" w:hint="eastAsia"/>
          <w:sz w:val="24"/>
          <w:szCs w:val="24"/>
        </w:rPr>
        <w:t>（所属行业）不同规模企业数据分析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一、2019</w:t>
      </w:r>
      <w:r>
        <w:rPr>
          <w:rFonts w:ascii="宋体" w:eastAsia="宋体" w:hAnsi="宋体" w:hint="eastAsia"/>
          <w:sz w:val="24"/>
          <w:szCs w:val="24"/>
        </w:rPr>
        <w:t>年中国绿茶行业（所属行业）不同规模企业数据分析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年中国绿茶行业（所属行业）不同所有制企业数据分析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一、2019</w:t>
      </w:r>
      <w:r>
        <w:rPr>
          <w:rFonts w:ascii="宋体" w:eastAsia="宋体" w:hAnsi="宋体" w:hint="eastAsia"/>
          <w:sz w:val="24"/>
          <w:szCs w:val="24"/>
        </w:rPr>
        <w:t>年中国绿茶行业（所属行业）不同所有制企业数据分析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年中国高端品牌绿茶市场运营走势分析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年中国高端品牌绿茶市场特性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一、高端品牌绿茶产品的多样性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二、高端品牌绿茶价格的模糊性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三、市场通路的波动性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四、高端品牌绿茶品牌的可塑性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五、包装茶的盈利性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年中国高端品牌绿茶市场消费形势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高端品牌绿茶消费的特点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二、中国高端品牌绿茶消费势头强劲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三、国内绿茶消费注重品牌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四、高端品牌绿茶消费逐渐形成新格局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五、我国高端品牌绿茶消费市场发展变化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六、国内高端品牌绿茶消费方式趋向多元化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年中国部分地区高端品牌绿茶消费状况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一、北京高端品牌绿茶消费状况分析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二、上海高端品牌绿茶消费市场发展分析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三、广州高端品牌绿茶消费状况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四、福建高端品牌绿茶消费市场的发展分析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五、山东济南高端品牌绿茶消费新动向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年中国高端品牌绿茶细分市场部析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西湖龙井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一、品牌价值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二、西湖龙井消费者评价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三、西湖龙井市场规模及采摘情况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四、西湖龙井市场价格分析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五、2019</w:t>
      </w:r>
      <w:r>
        <w:rPr>
          <w:rFonts w:ascii="宋体" w:eastAsia="宋体" w:hAnsi="宋体" w:hint="eastAsia"/>
          <w:sz w:val="24"/>
          <w:szCs w:val="24"/>
        </w:rPr>
        <w:t>年西湖龙井开茶节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在现代茶城隆重举行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绿茶新贵——云雾茶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绿茶珍品——信阳毛尖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黄山毛峰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洞庭碧螺春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太平猴魁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六安瓜片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新林玉露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年中国高端品牌绿茶市场消费调研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高端品牌绿茶消费群体调研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一、性别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二、年龄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三、区域分布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四、对茶文化认知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消费行为调研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一、选择茶叶因素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二、购买茶叶渠道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三、茶叶价格敏感度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四、茶叶包装对消费者因素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五、消费者购买高端品牌绿茶目的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六、购买高端品牌绿茶习惯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年中国高端品牌绿茶市场营销分析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高端品牌绿茶市场营销发展概况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一、高端品牌绿茶营销价值体现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二、高端品牌绿茶营销观念之浅析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三、茶营销与茶市场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四、高端品牌绿茶营销关键点剖析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高端品牌绿茶网络营销分析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一、高端品牌绿茶电子商务发展现状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二、高端品牌绿茶电子商务的盈利模式分析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三、透过立顿红茶分析网络营销之发展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四、安溪构建高端品牌绿茶网络营销渠道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中国茶企在市场营销中存在的严重误区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一、“文化”的误区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二、产品的误区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三、意识的误区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四、营销的误区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五、企业管理的误区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六、经营的误区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高端品牌绿茶营销策略分析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一、高端品牌绿茶企业的诚信营销策略分析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二、利用茶文化进行高端品牌绿茶营销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三、我国低档高端品牌绿茶的营销策略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四、高端品牌绿茶淡季营销策略分析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五、开创中国茶馆文化和体验营销新模式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高端品牌绿茶市场营销组合分析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一、高端品牌绿茶营销组合的转变与创新分析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二、高端品牌绿茶市场营销组合运用须遵守的原则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三、高端品牌绿茶市场营销组合策略剖析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四、普洱茶营销组合策略解析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年中国高端品牌绿茶包装分析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茶叶包装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一、茶叶包装类型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二、茶叶的包装方法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三、茶叶包装材料的选择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四、透视普洱茶品牌竞争分析茶叶包装设计的作用与发展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五、茶叶包装技术及未来包装材料发展方向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中国茶叶包装情况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一、我国现代茶叶包装呈现三大特点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二、茶叶包装出现新方式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三、茶叶包装向多样化发展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四、国家拟制定标准限制茶叶过度包装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五、茶叶包装需符合国家相关规定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茶叶包装设计分析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一、茶叶包装各方面设计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二、茶叶包装设计应关注的三个点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三、茶叶包装的色彩及图案设计分析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四、茶叶包装设计之摄影包装分析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茶叶包装存在的问题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一、茶叶包装材料浪费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二、茶叶包装标识有待规范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三、茶叶包装存在污染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茶叶包装策略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一、茶叶包装有助提升品牌形象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二、茶叶包装关键在于技术与文化含量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三、茶叶商品包装中的广告运用策略分析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四、茶叶包装装潢应体现四个特征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五、茶包装色彩心理与社会心理的关系分析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年中国高端品牌绿茶市场竞争格局透析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年中国高端品牌绿茶行业竞争现状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一、品牌竞争分析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二、价格竞争分析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三、营销方式竞争分析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四、中国茶叶产业竞争力</w:t>
      </w:r>
      <w:r>
        <w:rPr>
          <w:rFonts w:ascii="宋体" w:eastAsia="宋体" w:hAnsi="宋体" w:hint="eastAsia"/>
          <w:sz w:val="24"/>
          <w:szCs w:val="24"/>
        </w:rPr>
        <w:t>SWOT</w:t>
      </w:r>
      <w:r>
        <w:rPr>
          <w:rFonts w:ascii="宋体" w:eastAsia="宋体" w:hAnsi="宋体" w:hint="eastAsia"/>
          <w:sz w:val="24"/>
          <w:szCs w:val="24"/>
        </w:rPr>
        <w:t>分析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年中国高端品牌绿茶替代品竞争分析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一、花茶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二、红茶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三、茶受到咖啡等西方饮品冲击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四、西湖龙井面临云南普洱的挑战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年中国高端品牌绿茶行业集中度分析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一、市场集中度分析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二、生产企业的集中分布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年中国高端品牌绿茶竞争力策略分析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2020-2026</w:t>
      </w:r>
      <w:r>
        <w:rPr>
          <w:rFonts w:ascii="宋体" w:eastAsia="宋体" w:hAnsi="宋体" w:hint="eastAsia"/>
          <w:sz w:val="24"/>
          <w:szCs w:val="24"/>
        </w:rPr>
        <w:t>年中国高端品牌绿茶行业竞争趋势分析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年中国高端品牌绿茶重点企业运营财务状况分析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中国茶叶股份有限公司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一、公司概况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二、中茶公司六十年发展成就简述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>、中国茶叶股份有限公司发展重心转向国内市场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四、中国茶叶股份有限公司战略转型已成功启动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五、企业运营财务状况分析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浙江省茶叶集团有限公司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一、公司概况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二、浙江省茶叶集团有限公司业务体系概述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三、公司利用土地流转政策积极发展茶叶规模化经营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四、企业运营财务状况分析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湖南省茶业有限公司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二、湖南省茶业有限公司经营财务状况分析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三、湖南省茶业有限公司加盟“白沙溪”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云南龙生绿色产业集团有限公司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一、公司概况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二、龙生茶叶已获兰馨亚洲和深圳创新</w:t>
      </w:r>
      <w:r>
        <w:rPr>
          <w:rFonts w:ascii="宋体" w:eastAsia="宋体" w:hAnsi="宋体" w:hint="eastAsia"/>
          <w:sz w:val="24"/>
          <w:szCs w:val="24"/>
        </w:rPr>
        <w:t>5500</w:t>
      </w:r>
      <w:r>
        <w:rPr>
          <w:rFonts w:ascii="宋体" w:eastAsia="宋体" w:hAnsi="宋体" w:hint="eastAsia"/>
          <w:sz w:val="24"/>
          <w:szCs w:val="24"/>
        </w:rPr>
        <w:t>万元投资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三、龙生瞄准品牌投入亿元建造茶业航母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四、企业运营财务状况分析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北京吴裕泰茶业股份有限公司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一、公司概况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二、吴裕泰启动“绿色</w:t>
      </w:r>
      <w:r>
        <w:rPr>
          <w:rFonts w:ascii="宋体" w:eastAsia="宋体" w:hAnsi="宋体" w:hint="eastAsia"/>
          <w:sz w:val="24"/>
          <w:szCs w:val="24"/>
        </w:rPr>
        <w:t>100</w:t>
      </w:r>
      <w:r>
        <w:rPr>
          <w:rFonts w:ascii="宋体" w:eastAsia="宋体" w:hAnsi="宋体" w:hint="eastAsia"/>
          <w:sz w:val="24"/>
          <w:szCs w:val="24"/>
        </w:rPr>
        <w:t>行动”以保茶叶品质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三、吴裕泰的特许经营发展分析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四、企业运营财务状况分析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其它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一、湖南兰岭绿态茶叶有限公司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二、四川省叙府茶业有限公司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三、湖南湘丰茶业有限公司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四、浙江鸿华茶厂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五、湖北邓村绿茶有限公司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2020-2026</w:t>
      </w:r>
      <w:r>
        <w:rPr>
          <w:rFonts w:ascii="宋体" w:eastAsia="宋体" w:hAnsi="宋体" w:hint="eastAsia"/>
          <w:sz w:val="24"/>
          <w:szCs w:val="24"/>
        </w:rPr>
        <w:t>年中国高端品牌绿茶行业发展趋势与前景展望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2020-2026</w:t>
      </w:r>
      <w:r>
        <w:rPr>
          <w:rFonts w:ascii="宋体" w:eastAsia="宋体" w:hAnsi="宋体" w:hint="eastAsia"/>
          <w:sz w:val="24"/>
          <w:szCs w:val="24"/>
        </w:rPr>
        <w:t>年中国高端品牌绿茶行业发展前景分析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一、中国茶产业前景预测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二、全国茶叶重点区域发展规划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三、茶叶借助精深加工走向现代化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2020-2026</w:t>
      </w:r>
      <w:r>
        <w:rPr>
          <w:rFonts w:ascii="宋体" w:eastAsia="宋体" w:hAnsi="宋体" w:hint="eastAsia"/>
          <w:sz w:val="24"/>
          <w:szCs w:val="24"/>
        </w:rPr>
        <w:t>年中国高端品牌绿茶消费趋势分析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一、未来高端品牌绿茶市场消费趋向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二、高端品牌绿茶成茶产业消费新亮点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2020-2026</w:t>
      </w:r>
      <w:r>
        <w:rPr>
          <w:rFonts w:ascii="宋体" w:eastAsia="宋体" w:hAnsi="宋体" w:hint="eastAsia"/>
          <w:sz w:val="24"/>
          <w:szCs w:val="24"/>
        </w:rPr>
        <w:t>年中国高端品牌绿茶行业市场预测分析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一、茶叶产量预测分析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二、高端品牌绿茶市场规模预测分析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三、高端品牌绿茶市场消费预测分析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2020-2026</w:t>
      </w:r>
      <w:r>
        <w:rPr>
          <w:rFonts w:ascii="宋体" w:eastAsia="宋体" w:hAnsi="宋体" w:hint="eastAsia"/>
          <w:sz w:val="24"/>
          <w:szCs w:val="24"/>
        </w:rPr>
        <w:t>年中国高端品牌绿茶市场盈利预测分析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第十二章</w:t>
      </w:r>
      <w:r>
        <w:rPr>
          <w:rFonts w:ascii="宋体" w:eastAsia="宋体" w:hAnsi="宋体" w:hint="eastAsia"/>
          <w:sz w:val="24"/>
          <w:szCs w:val="24"/>
        </w:rPr>
        <w:t xml:space="preserve"> 2020-2026</w:t>
      </w:r>
      <w:r>
        <w:rPr>
          <w:rFonts w:ascii="宋体" w:eastAsia="宋体" w:hAnsi="宋体" w:hint="eastAsia"/>
          <w:sz w:val="24"/>
          <w:szCs w:val="24"/>
        </w:rPr>
        <w:t>年中国高端品牌绿茶投资前景预测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年中国高端品牌绿茶投资概况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一、端品牌绿茶投资环境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二、高端品牌绿茶投资特性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2020-2026</w:t>
      </w:r>
      <w:r>
        <w:rPr>
          <w:rFonts w:ascii="宋体" w:eastAsia="宋体" w:hAnsi="宋体" w:hint="eastAsia"/>
          <w:sz w:val="24"/>
          <w:szCs w:val="24"/>
        </w:rPr>
        <w:t>年中国高端品牌绿茶行业投资机会分析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一、我国茶叶强势品牌机会多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二、茶叶店投资盈利性分析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三、产业链投资热点研究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2020-2026</w:t>
      </w:r>
      <w:r>
        <w:rPr>
          <w:rFonts w:ascii="宋体" w:eastAsia="宋体" w:hAnsi="宋体" w:hint="eastAsia"/>
          <w:sz w:val="24"/>
          <w:szCs w:val="24"/>
        </w:rPr>
        <w:t>年中国高端品牌绿茶行业投资风险预警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一、市场运营机制风险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二、市场竞争风险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三、进退入风险</w:t>
      </w:r>
    </w:p>
    <w:p w:rsidR="003715C5" w:rsidRDefault="005B662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四、其它风险</w:t>
      </w:r>
    </w:p>
    <w:p w:rsidR="003715C5" w:rsidRDefault="003715C5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3715C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23B43"/>
    <w:rsid w:val="00326561"/>
    <w:rsid w:val="003715C5"/>
    <w:rsid w:val="003D37D8"/>
    <w:rsid w:val="00426133"/>
    <w:rsid w:val="004358AB"/>
    <w:rsid w:val="005B1329"/>
    <w:rsid w:val="005B6621"/>
    <w:rsid w:val="006152BD"/>
    <w:rsid w:val="006E1C52"/>
    <w:rsid w:val="0074794B"/>
    <w:rsid w:val="0078663D"/>
    <w:rsid w:val="00876C48"/>
    <w:rsid w:val="00896347"/>
    <w:rsid w:val="00896506"/>
    <w:rsid w:val="008B7726"/>
    <w:rsid w:val="008D38B3"/>
    <w:rsid w:val="009D3542"/>
    <w:rsid w:val="009F00FD"/>
    <w:rsid w:val="00B6044C"/>
    <w:rsid w:val="00B97C08"/>
    <w:rsid w:val="00D31D50"/>
    <w:rsid w:val="01076324"/>
    <w:rsid w:val="01E5646F"/>
    <w:rsid w:val="02BD00C7"/>
    <w:rsid w:val="03095887"/>
    <w:rsid w:val="045215C6"/>
    <w:rsid w:val="045A72F5"/>
    <w:rsid w:val="04653E64"/>
    <w:rsid w:val="04DB0967"/>
    <w:rsid w:val="05372E15"/>
    <w:rsid w:val="05585987"/>
    <w:rsid w:val="06924CFC"/>
    <w:rsid w:val="06B56152"/>
    <w:rsid w:val="06C91665"/>
    <w:rsid w:val="071551CF"/>
    <w:rsid w:val="07AE0242"/>
    <w:rsid w:val="0917678F"/>
    <w:rsid w:val="09435005"/>
    <w:rsid w:val="09846D3A"/>
    <w:rsid w:val="09AA7130"/>
    <w:rsid w:val="0ABB13A4"/>
    <w:rsid w:val="0B332592"/>
    <w:rsid w:val="0B5A7C80"/>
    <w:rsid w:val="0BB5650F"/>
    <w:rsid w:val="0BF47B39"/>
    <w:rsid w:val="0C925123"/>
    <w:rsid w:val="0CDE3D78"/>
    <w:rsid w:val="0D110DFB"/>
    <w:rsid w:val="0D14701F"/>
    <w:rsid w:val="0DA4085A"/>
    <w:rsid w:val="0F4F6176"/>
    <w:rsid w:val="0F784339"/>
    <w:rsid w:val="0F7A5515"/>
    <w:rsid w:val="0F874BE0"/>
    <w:rsid w:val="0F974379"/>
    <w:rsid w:val="0FC51BCD"/>
    <w:rsid w:val="105B7561"/>
    <w:rsid w:val="108B1A2B"/>
    <w:rsid w:val="10ED7FF1"/>
    <w:rsid w:val="114E63F4"/>
    <w:rsid w:val="12F73123"/>
    <w:rsid w:val="131A7DF8"/>
    <w:rsid w:val="133D1796"/>
    <w:rsid w:val="141C3993"/>
    <w:rsid w:val="151E3FB9"/>
    <w:rsid w:val="1529502F"/>
    <w:rsid w:val="15AE2879"/>
    <w:rsid w:val="15DB7E89"/>
    <w:rsid w:val="163527E9"/>
    <w:rsid w:val="16B54F00"/>
    <w:rsid w:val="16BF1736"/>
    <w:rsid w:val="16D829C1"/>
    <w:rsid w:val="175D69EE"/>
    <w:rsid w:val="184B3E99"/>
    <w:rsid w:val="184B7B6C"/>
    <w:rsid w:val="18A51BC3"/>
    <w:rsid w:val="19F51B92"/>
    <w:rsid w:val="1A743293"/>
    <w:rsid w:val="1AD173E1"/>
    <w:rsid w:val="1C213A1E"/>
    <w:rsid w:val="1C405926"/>
    <w:rsid w:val="1CB6427B"/>
    <w:rsid w:val="1D045A7E"/>
    <w:rsid w:val="1D86093D"/>
    <w:rsid w:val="1E583510"/>
    <w:rsid w:val="1EEE397F"/>
    <w:rsid w:val="1F116FDA"/>
    <w:rsid w:val="2030271E"/>
    <w:rsid w:val="20A41A77"/>
    <w:rsid w:val="22AA70DA"/>
    <w:rsid w:val="22C0132A"/>
    <w:rsid w:val="23E63691"/>
    <w:rsid w:val="24564D7F"/>
    <w:rsid w:val="248913D0"/>
    <w:rsid w:val="254213F0"/>
    <w:rsid w:val="25BE730E"/>
    <w:rsid w:val="25D91A58"/>
    <w:rsid w:val="2748694C"/>
    <w:rsid w:val="28BC0104"/>
    <w:rsid w:val="28E53883"/>
    <w:rsid w:val="29A212C3"/>
    <w:rsid w:val="2AA61BB0"/>
    <w:rsid w:val="2AE97C16"/>
    <w:rsid w:val="2B927FFE"/>
    <w:rsid w:val="2BA23D81"/>
    <w:rsid w:val="2C2801EA"/>
    <w:rsid w:val="2C9369D1"/>
    <w:rsid w:val="2D432EF8"/>
    <w:rsid w:val="2D4B08E8"/>
    <w:rsid w:val="2D623CAA"/>
    <w:rsid w:val="2D6D0015"/>
    <w:rsid w:val="2D835B89"/>
    <w:rsid w:val="2E8060BB"/>
    <w:rsid w:val="2F33742E"/>
    <w:rsid w:val="2F630F14"/>
    <w:rsid w:val="2F963BB6"/>
    <w:rsid w:val="2FA8325A"/>
    <w:rsid w:val="2FCB74A1"/>
    <w:rsid w:val="30365223"/>
    <w:rsid w:val="30CC7C4B"/>
    <w:rsid w:val="31484378"/>
    <w:rsid w:val="318215E1"/>
    <w:rsid w:val="319660FB"/>
    <w:rsid w:val="325D6259"/>
    <w:rsid w:val="32F73954"/>
    <w:rsid w:val="338301F5"/>
    <w:rsid w:val="340473B7"/>
    <w:rsid w:val="348635B1"/>
    <w:rsid w:val="35090A1F"/>
    <w:rsid w:val="352F08B7"/>
    <w:rsid w:val="358B3D18"/>
    <w:rsid w:val="35A06B99"/>
    <w:rsid w:val="35D67818"/>
    <w:rsid w:val="36DE0138"/>
    <w:rsid w:val="37073E17"/>
    <w:rsid w:val="3729430F"/>
    <w:rsid w:val="378C57D0"/>
    <w:rsid w:val="37EC1CA0"/>
    <w:rsid w:val="38A761FB"/>
    <w:rsid w:val="3A4F126B"/>
    <w:rsid w:val="3B1F2B5C"/>
    <w:rsid w:val="3B551498"/>
    <w:rsid w:val="3BCB1CDF"/>
    <w:rsid w:val="3C381F65"/>
    <w:rsid w:val="3C69619A"/>
    <w:rsid w:val="3C956D00"/>
    <w:rsid w:val="3E3349D0"/>
    <w:rsid w:val="3E9620C1"/>
    <w:rsid w:val="402A4A5A"/>
    <w:rsid w:val="41017CD4"/>
    <w:rsid w:val="419E480B"/>
    <w:rsid w:val="42423748"/>
    <w:rsid w:val="42ED13E1"/>
    <w:rsid w:val="43950BE4"/>
    <w:rsid w:val="4421517F"/>
    <w:rsid w:val="442F02DF"/>
    <w:rsid w:val="44AF6634"/>
    <w:rsid w:val="44F0445C"/>
    <w:rsid w:val="450E1C98"/>
    <w:rsid w:val="458022BD"/>
    <w:rsid w:val="45A35E31"/>
    <w:rsid w:val="45B9329A"/>
    <w:rsid w:val="460F0C50"/>
    <w:rsid w:val="4656019F"/>
    <w:rsid w:val="46C87B86"/>
    <w:rsid w:val="476C0138"/>
    <w:rsid w:val="489100FA"/>
    <w:rsid w:val="489F49B4"/>
    <w:rsid w:val="4A675D19"/>
    <w:rsid w:val="4BA6510C"/>
    <w:rsid w:val="4BCE41C5"/>
    <w:rsid w:val="4BD35219"/>
    <w:rsid w:val="4C6A5809"/>
    <w:rsid w:val="4C73108C"/>
    <w:rsid w:val="4CDE4BBC"/>
    <w:rsid w:val="4D0140C0"/>
    <w:rsid w:val="4E371AA4"/>
    <w:rsid w:val="4E636674"/>
    <w:rsid w:val="4EE70A50"/>
    <w:rsid w:val="4FF977F6"/>
    <w:rsid w:val="4FFC29C8"/>
    <w:rsid w:val="501838BD"/>
    <w:rsid w:val="5091227E"/>
    <w:rsid w:val="50AB7977"/>
    <w:rsid w:val="51C05323"/>
    <w:rsid w:val="51DB11E3"/>
    <w:rsid w:val="5249559F"/>
    <w:rsid w:val="53A47C59"/>
    <w:rsid w:val="53CB3A57"/>
    <w:rsid w:val="54275632"/>
    <w:rsid w:val="54C530A0"/>
    <w:rsid w:val="554F41DD"/>
    <w:rsid w:val="55545D3C"/>
    <w:rsid w:val="55983E0D"/>
    <w:rsid w:val="56030D65"/>
    <w:rsid w:val="5771608F"/>
    <w:rsid w:val="57D77904"/>
    <w:rsid w:val="58497EC0"/>
    <w:rsid w:val="589B1A74"/>
    <w:rsid w:val="59324AF9"/>
    <w:rsid w:val="5A382A7F"/>
    <w:rsid w:val="5AD63146"/>
    <w:rsid w:val="5B0C2DD2"/>
    <w:rsid w:val="5C1C6751"/>
    <w:rsid w:val="5EBF4968"/>
    <w:rsid w:val="5ED043EE"/>
    <w:rsid w:val="5F701209"/>
    <w:rsid w:val="60593A9C"/>
    <w:rsid w:val="611B30CE"/>
    <w:rsid w:val="61A577C3"/>
    <w:rsid w:val="61A95042"/>
    <w:rsid w:val="61D06F59"/>
    <w:rsid w:val="61F6348E"/>
    <w:rsid w:val="629E5838"/>
    <w:rsid w:val="630C538C"/>
    <w:rsid w:val="63486DE3"/>
    <w:rsid w:val="655E4393"/>
    <w:rsid w:val="656A586E"/>
    <w:rsid w:val="66A766C9"/>
    <w:rsid w:val="67512A40"/>
    <w:rsid w:val="684D3A38"/>
    <w:rsid w:val="68563C77"/>
    <w:rsid w:val="6872140D"/>
    <w:rsid w:val="68B569EA"/>
    <w:rsid w:val="69955C98"/>
    <w:rsid w:val="6A371662"/>
    <w:rsid w:val="6A4A387E"/>
    <w:rsid w:val="6ACC63A0"/>
    <w:rsid w:val="6ADA5740"/>
    <w:rsid w:val="6AE37F1C"/>
    <w:rsid w:val="6B2B0559"/>
    <w:rsid w:val="6B573205"/>
    <w:rsid w:val="6BA15CF9"/>
    <w:rsid w:val="6BD311B6"/>
    <w:rsid w:val="6BEF78A1"/>
    <w:rsid w:val="6C1F446E"/>
    <w:rsid w:val="6CF2459D"/>
    <w:rsid w:val="6D0A5EB8"/>
    <w:rsid w:val="6E3D1A16"/>
    <w:rsid w:val="6E565585"/>
    <w:rsid w:val="6E8916F9"/>
    <w:rsid w:val="6EDD2EA4"/>
    <w:rsid w:val="6F1F037B"/>
    <w:rsid w:val="70AC2234"/>
    <w:rsid w:val="733B3CE0"/>
    <w:rsid w:val="734971C1"/>
    <w:rsid w:val="73666803"/>
    <w:rsid w:val="74157D3C"/>
    <w:rsid w:val="74252CCF"/>
    <w:rsid w:val="744027BB"/>
    <w:rsid w:val="744E76C6"/>
    <w:rsid w:val="74F735F7"/>
    <w:rsid w:val="75664E9A"/>
    <w:rsid w:val="768F65A5"/>
    <w:rsid w:val="77332318"/>
    <w:rsid w:val="773E7629"/>
    <w:rsid w:val="7745623D"/>
    <w:rsid w:val="7779177C"/>
    <w:rsid w:val="77FC620E"/>
    <w:rsid w:val="78967B1A"/>
    <w:rsid w:val="7966497C"/>
    <w:rsid w:val="7A40497E"/>
    <w:rsid w:val="7A773F47"/>
    <w:rsid w:val="7AE2432F"/>
    <w:rsid w:val="7B4E6600"/>
    <w:rsid w:val="7BA76B61"/>
    <w:rsid w:val="7BC10189"/>
    <w:rsid w:val="7CD13290"/>
    <w:rsid w:val="7DE90B30"/>
    <w:rsid w:val="7E0C4C95"/>
    <w:rsid w:val="7E125A6F"/>
    <w:rsid w:val="7E133A9C"/>
    <w:rsid w:val="7E8A60D3"/>
    <w:rsid w:val="7F911AED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4FEB3"/>
  <w15:docId w15:val="{E4FBED6B-420D-4AD0-9209-E8507B6D5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6/55/SuoFaZhanQianJingFenXiYuCe.html" TargetMode="External"/><Relationship Id="rId5" Type="http://schemas.openxmlformats.org/officeDocument/2006/relationships/hyperlink" Target="http://www.cir.cn/3/77/MaoYiShiChangDiaoYanYuQianJingYu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562</Words>
  <Characters>3208</Characters>
  <Application>Microsoft Office Word</Application>
  <DocSecurity>0</DocSecurity>
  <Lines>26</Lines>
  <Paragraphs>7</Paragraphs>
  <ScaleCrop>false</ScaleCrop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6</cp:revision>
  <dcterms:created xsi:type="dcterms:W3CDTF">2019-02-01T01:56:00Z</dcterms:created>
  <dcterms:modified xsi:type="dcterms:W3CDTF">2020-01-02T01:53:00Z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