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64A" w:rsidRDefault="000C261E">
      <w:pPr>
        <w:rPr>
          <w:rFonts w:ascii="宋体" w:eastAsia="宋体" w:hAnsi="宋体"/>
          <w:sz w:val="24"/>
          <w:szCs w:val="24"/>
        </w:rPr>
      </w:pPr>
      <w:r>
        <w:rPr>
          <w:rFonts w:ascii="宋体" w:eastAsia="宋体" w:hAnsi="宋体" w:hint="eastAsia"/>
          <w:sz w:val="24"/>
          <w:szCs w:val="24"/>
        </w:rPr>
        <w:t>运动营养食品</w:t>
      </w:r>
      <w:bookmarkStart w:id="0" w:name="_GoBack"/>
      <w:bookmarkEnd w:id="0"/>
    </w:p>
    <w:p w:rsidR="00FB764A" w:rsidRDefault="000C261E">
      <w:pPr>
        <w:spacing w:line="360" w:lineRule="auto"/>
        <w:rPr>
          <w:rFonts w:ascii="宋体" w:eastAsia="宋体" w:hAnsi="宋体"/>
          <w:sz w:val="24"/>
          <w:szCs w:val="24"/>
        </w:rPr>
      </w:pPr>
      <w:bookmarkStart w:id="1" w:name="2019年运动营养食品行业现状研究及未来走势分析报告"/>
      <w:r>
        <w:rPr>
          <w:rFonts w:ascii="宋体" w:eastAsia="宋体" w:hAnsi="宋体" w:hint="eastAsia"/>
          <w:sz w:val="24"/>
          <w:szCs w:val="24"/>
        </w:rPr>
        <w:t>2019</w:t>
      </w:r>
      <w:r>
        <w:rPr>
          <w:rFonts w:ascii="宋体" w:eastAsia="宋体" w:hAnsi="宋体" w:hint="eastAsia"/>
          <w:sz w:val="24"/>
          <w:szCs w:val="24"/>
        </w:rPr>
        <w:t>年运动营养食品行业现状研究及未来走势分析报告</w:t>
      </w:r>
      <w:bookmarkEnd w:id="1"/>
    </w:p>
    <w:p w:rsidR="000C261E" w:rsidRDefault="000C261E">
      <w:pPr>
        <w:spacing w:line="360" w:lineRule="auto"/>
        <w:rPr>
          <w:rFonts w:ascii="宋体" w:eastAsia="宋体" w:hAnsi="宋体" w:hint="eastAsia"/>
          <w:sz w:val="24"/>
          <w:szCs w:val="24"/>
        </w:rPr>
      </w:pPr>
      <w:r>
        <w:rPr>
          <w:rFonts w:ascii="宋体" w:eastAsia="宋体" w:hAnsi="宋体" w:hint="eastAsia"/>
          <w:sz w:val="24"/>
          <w:szCs w:val="24"/>
        </w:rPr>
        <w:t>【报告编号】180131SP256</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第一章</w:t>
      </w:r>
      <w:r>
        <w:rPr>
          <w:rFonts w:ascii="宋体" w:eastAsia="宋体" w:hAnsi="宋体" w:hint="eastAsia"/>
          <w:sz w:val="24"/>
          <w:szCs w:val="24"/>
        </w:rPr>
        <w:t xml:space="preserve"> </w:t>
      </w:r>
      <w:r>
        <w:rPr>
          <w:rFonts w:ascii="宋体" w:eastAsia="宋体" w:hAnsi="宋体" w:hint="eastAsia"/>
          <w:sz w:val="24"/>
          <w:szCs w:val="24"/>
        </w:rPr>
        <w:t>运动营养食品产品概述</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w:t>
      </w:r>
      <w:r>
        <w:rPr>
          <w:rFonts w:ascii="宋体" w:eastAsia="宋体" w:hAnsi="宋体" w:hint="eastAsia"/>
          <w:sz w:val="24"/>
          <w:szCs w:val="24"/>
        </w:rPr>
        <w:t>产品定义</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w:t>
      </w:r>
      <w:r>
        <w:rPr>
          <w:rFonts w:ascii="宋体" w:eastAsia="宋体" w:hAnsi="宋体" w:hint="eastAsia"/>
          <w:sz w:val="24"/>
          <w:szCs w:val="24"/>
        </w:rPr>
        <w:t>产品用途</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w:t>
      </w:r>
      <w:r>
        <w:rPr>
          <w:rFonts w:ascii="宋体" w:eastAsia="宋体" w:hAnsi="宋体" w:hint="eastAsia"/>
          <w:sz w:val="24"/>
          <w:szCs w:val="24"/>
        </w:rPr>
        <w:t>运动营养食品市场特点分析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一、产品特征</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二、价格特征</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三、渠道特征</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四、购买特征</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第四节</w:t>
      </w:r>
      <w:r>
        <w:rPr>
          <w:rFonts w:ascii="宋体" w:eastAsia="宋体" w:hAnsi="宋体" w:hint="eastAsia"/>
          <w:sz w:val="24"/>
          <w:szCs w:val="24"/>
        </w:rPr>
        <w:t xml:space="preserve"> </w:t>
      </w:r>
      <w:r>
        <w:rPr>
          <w:rFonts w:ascii="宋体" w:eastAsia="宋体" w:hAnsi="宋体" w:hint="eastAsia"/>
          <w:sz w:val="24"/>
          <w:szCs w:val="24"/>
        </w:rPr>
        <w:t>行业发展周期特征分析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第二章</w:t>
      </w:r>
      <w:r>
        <w:rPr>
          <w:rFonts w:ascii="宋体" w:eastAsia="宋体" w:hAnsi="宋体" w:hint="eastAsia"/>
          <w:sz w:val="24"/>
          <w:szCs w:val="24"/>
        </w:rPr>
        <w:t xml:space="preserve"> </w:t>
      </w:r>
      <w:r>
        <w:rPr>
          <w:rFonts w:ascii="宋体" w:eastAsia="宋体" w:hAnsi="宋体" w:hint="eastAsia"/>
          <w:sz w:val="24"/>
          <w:szCs w:val="24"/>
        </w:rPr>
        <w:t>运动营养食品行业环境分析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w:t>
      </w:r>
      <w:r>
        <w:rPr>
          <w:rFonts w:ascii="宋体" w:eastAsia="宋体" w:hAnsi="宋体" w:hint="eastAsia"/>
          <w:sz w:val="24"/>
          <w:szCs w:val="24"/>
        </w:rPr>
        <w:t>中国经济发展环境分析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一、中国</w:t>
      </w:r>
      <w:r>
        <w:rPr>
          <w:rFonts w:ascii="宋体" w:eastAsia="宋体" w:hAnsi="宋体" w:hint="eastAsia"/>
          <w:sz w:val="24"/>
          <w:szCs w:val="24"/>
        </w:rPr>
        <w:t>GDP</w:t>
      </w:r>
      <w:r>
        <w:rPr>
          <w:rFonts w:ascii="宋体" w:eastAsia="宋体" w:hAnsi="宋体" w:hint="eastAsia"/>
          <w:sz w:val="24"/>
          <w:szCs w:val="24"/>
        </w:rPr>
        <w:t>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三、固定资产投资</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三、城镇人员从业状况</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四、恩格尔系数分析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五、</w:t>
      </w:r>
      <w:r>
        <w:rPr>
          <w:rFonts w:ascii="宋体" w:eastAsia="宋体" w:hAnsi="宋体" w:hint="eastAsia"/>
          <w:sz w:val="24"/>
          <w:szCs w:val="24"/>
        </w:rPr>
        <w:t>2019-2025</w:t>
      </w:r>
      <w:r>
        <w:rPr>
          <w:rFonts w:ascii="宋体" w:eastAsia="宋体" w:hAnsi="宋体" w:hint="eastAsia"/>
          <w:sz w:val="24"/>
          <w:szCs w:val="24"/>
        </w:rPr>
        <w:t>年中国宏观经济发展预测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w:t>
      </w:r>
      <w:r>
        <w:rPr>
          <w:rFonts w:ascii="宋体" w:eastAsia="宋体" w:hAnsi="宋体" w:hint="eastAsia"/>
          <w:sz w:val="24"/>
          <w:szCs w:val="24"/>
        </w:rPr>
        <w:t>中国运动营养食品行业政策环境分析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一、产业政策分析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lastRenderedPageBreak/>
        <w:t>二、相关产业政策影响分析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w:t>
      </w:r>
      <w:r>
        <w:rPr>
          <w:rFonts w:ascii="宋体" w:eastAsia="宋体" w:hAnsi="宋体" w:hint="eastAsia"/>
          <w:sz w:val="24"/>
          <w:szCs w:val="24"/>
        </w:rPr>
        <w:t>中国运动营养食品行业技术环境分析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一、中国运动营养食品技术发展概况</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二、中国运动营养食品产品工艺特点或流程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三、中国运动营养食品行业技术发展趋势</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第三章</w:t>
      </w:r>
      <w:r>
        <w:rPr>
          <w:rFonts w:ascii="宋体" w:eastAsia="宋体" w:hAnsi="宋体" w:hint="eastAsia"/>
          <w:sz w:val="24"/>
          <w:szCs w:val="24"/>
        </w:rPr>
        <w:t xml:space="preserve"> </w:t>
      </w:r>
      <w:r>
        <w:rPr>
          <w:rFonts w:ascii="宋体" w:eastAsia="宋体" w:hAnsi="宋体" w:hint="eastAsia"/>
          <w:sz w:val="24"/>
          <w:szCs w:val="24"/>
        </w:rPr>
        <w:t>全球运动营养食品</w:t>
      </w:r>
      <w:hyperlink r:id="rId5" w:tgtFrame="http://www.cir.cn/R_2012-02/_blank" w:tooltip="市场分析" w:history="1">
        <w:r>
          <w:rPr>
            <w:rFonts w:ascii="宋体" w:eastAsia="宋体" w:hAnsi="宋体" w:hint="eastAsia"/>
            <w:sz w:val="24"/>
            <w:szCs w:val="24"/>
          </w:rPr>
          <w:t>市场分析</w:t>
        </w:r>
      </w:hyperlink>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w:t>
      </w:r>
      <w:r>
        <w:rPr>
          <w:rFonts w:ascii="宋体" w:eastAsia="宋体" w:hAnsi="宋体" w:hint="eastAsia"/>
          <w:sz w:val="24"/>
          <w:szCs w:val="24"/>
        </w:rPr>
        <w:t>运动营养食品产能分析及预测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2014-2018</w:t>
      </w:r>
      <w:r>
        <w:rPr>
          <w:rFonts w:ascii="宋体" w:eastAsia="宋体" w:hAnsi="宋体" w:hint="eastAsia"/>
          <w:sz w:val="24"/>
          <w:szCs w:val="24"/>
        </w:rPr>
        <w:t>年全球运动营养食品产能分析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2019-2025</w:t>
      </w:r>
      <w:r>
        <w:rPr>
          <w:rFonts w:ascii="宋体" w:eastAsia="宋体" w:hAnsi="宋体" w:hint="eastAsia"/>
          <w:sz w:val="24"/>
          <w:szCs w:val="24"/>
        </w:rPr>
        <w:t>年全球运动营养食品产能预测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w:t>
      </w:r>
      <w:r>
        <w:rPr>
          <w:rFonts w:ascii="宋体" w:eastAsia="宋体" w:hAnsi="宋体" w:hint="eastAsia"/>
          <w:sz w:val="24"/>
          <w:szCs w:val="24"/>
        </w:rPr>
        <w:t>运动营养食品产品产量分析及预测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2014-2018</w:t>
      </w:r>
      <w:r>
        <w:rPr>
          <w:rFonts w:ascii="宋体" w:eastAsia="宋体" w:hAnsi="宋体" w:hint="eastAsia"/>
          <w:sz w:val="24"/>
          <w:szCs w:val="24"/>
        </w:rPr>
        <w:t>年全球运动营养食品产量分析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2019-2025</w:t>
      </w:r>
      <w:r>
        <w:rPr>
          <w:rFonts w:ascii="宋体" w:eastAsia="宋体" w:hAnsi="宋体" w:hint="eastAsia"/>
          <w:sz w:val="24"/>
          <w:szCs w:val="24"/>
        </w:rPr>
        <w:t>年全球运动营养食品产量预测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w:t>
      </w:r>
      <w:r>
        <w:rPr>
          <w:rFonts w:ascii="宋体" w:eastAsia="宋体" w:hAnsi="宋体" w:hint="eastAsia"/>
          <w:sz w:val="24"/>
          <w:szCs w:val="24"/>
        </w:rPr>
        <w:t>运动营养食品市场需求分析及预测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2014-2018</w:t>
      </w:r>
      <w:r>
        <w:rPr>
          <w:rFonts w:ascii="宋体" w:eastAsia="宋体" w:hAnsi="宋体" w:hint="eastAsia"/>
          <w:sz w:val="24"/>
          <w:szCs w:val="24"/>
        </w:rPr>
        <w:t>年全球运动营养食品市场需求分析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2019-2025</w:t>
      </w:r>
      <w:r>
        <w:rPr>
          <w:rFonts w:ascii="宋体" w:eastAsia="宋体" w:hAnsi="宋体" w:hint="eastAsia"/>
          <w:sz w:val="24"/>
          <w:szCs w:val="24"/>
        </w:rPr>
        <w:t>年全球运动营养食品市场需求预测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第四章</w:t>
      </w:r>
      <w:r>
        <w:rPr>
          <w:rFonts w:ascii="宋体" w:eastAsia="宋体" w:hAnsi="宋体" w:hint="eastAsia"/>
          <w:sz w:val="24"/>
          <w:szCs w:val="24"/>
        </w:rPr>
        <w:t xml:space="preserve"> </w:t>
      </w:r>
      <w:r>
        <w:rPr>
          <w:rFonts w:ascii="宋体" w:eastAsia="宋体" w:hAnsi="宋体" w:hint="eastAsia"/>
          <w:sz w:val="24"/>
          <w:szCs w:val="24"/>
        </w:rPr>
        <w:t>中国运动营养食品市场分析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w:t>
      </w:r>
      <w:r>
        <w:rPr>
          <w:rFonts w:ascii="宋体" w:eastAsia="宋体" w:hAnsi="宋体" w:hint="eastAsia"/>
          <w:sz w:val="24"/>
          <w:szCs w:val="24"/>
        </w:rPr>
        <w:t>运动营养食品市场现状分析及预测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2014-2018</w:t>
      </w:r>
      <w:r>
        <w:rPr>
          <w:rFonts w:ascii="宋体" w:eastAsia="宋体" w:hAnsi="宋体" w:hint="eastAsia"/>
          <w:sz w:val="24"/>
          <w:szCs w:val="24"/>
        </w:rPr>
        <w:t>年中国运动营养食品市场规模分析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2019-2025</w:t>
      </w:r>
      <w:r>
        <w:rPr>
          <w:rFonts w:ascii="宋体" w:eastAsia="宋体" w:hAnsi="宋体" w:hint="eastAsia"/>
          <w:sz w:val="24"/>
          <w:szCs w:val="24"/>
        </w:rPr>
        <w:t>年中国运动营养食品市场规模预测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w:t>
      </w:r>
      <w:r>
        <w:rPr>
          <w:rFonts w:ascii="宋体" w:eastAsia="宋体" w:hAnsi="宋体" w:hint="eastAsia"/>
          <w:sz w:val="24"/>
          <w:szCs w:val="24"/>
        </w:rPr>
        <w:t>运动营养食品产品产能分析及预测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2014-2018</w:t>
      </w:r>
      <w:r>
        <w:rPr>
          <w:rFonts w:ascii="宋体" w:eastAsia="宋体" w:hAnsi="宋体" w:hint="eastAsia"/>
          <w:sz w:val="24"/>
          <w:szCs w:val="24"/>
        </w:rPr>
        <w:t>年中国运动营养食品产能分析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lastRenderedPageBreak/>
        <w:t>二、</w:t>
      </w:r>
      <w:r>
        <w:rPr>
          <w:rFonts w:ascii="宋体" w:eastAsia="宋体" w:hAnsi="宋体" w:hint="eastAsia"/>
          <w:sz w:val="24"/>
          <w:szCs w:val="24"/>
        </w:rPr>
        <w:t>2019-2025</w:t>
      </w:r>
      <w:r>
        <w:rPr>
          <w:rFonts w:ascii="宋体" w:eastAsia="宋体" w:hAnsi="宋体" w:hint="eastAsia"/>
          <w:sz w:val="24"/>
          <w:szCs w:val="24"/>
        </w:rPr>
        <w:t>年中国运动营养食品产能预</w:t>
      </w:r>
      <w:r>
        <w:rPr>
          <w:rFonts w:ascii="宋体" w:eastAsia="宋体" w:hAnsi="宋体" w:hint="eastAsia"/>
          <w:sz w:val="24"/>
          <w:szCs w:val="24"/>
        </w:rPr>
        <w:t>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w:t>
      </w:r>
      <w:r>
        <w:rPr>
          <w:rFonts w:ascii="宋体" w:eastAsia="宋体" w:hAnsi="宋体" w:hint="eastAsia"/>
          <w:sz w:val="24"/>
          <w:szCs w:val="24"/>
        </w:rPr>
        <w:t>运动营养食品产品产量分析及预测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2014-2018</w:t>
      </w:r>
      <w:r>
        <w:rPr>
          <w:rFonts w:ascii="宋体" w:eastAsia="宋体" w:hAnsi="宋体" w:hint="eastAsia"/>
          <w:sz w:val="24"/>
          <w:szCs w:val="24"/>
        </w:rPr>
        <w:t>年中国运动营养食品产量分析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2019-2025</w:t>
      </w:r>
      <w:r>
        <w:rPr>
          <w:rFonts w:ascii="宋体" w:eastAsia="宋体" w:hAnsi="宋体" w:hint="eastAsia"/>
          <w:sz w:val="24"/>
          <w:szCs w:val="24"/>
        </w:rPr>
        <w:t>年中国运动营养食品产量预测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第四节</w:t>
      </w:r>
      <w:r>
        <w:rPr>
          <w:rFonts w:ascii="宋体" w:eastAsia="宋体" w:hAnsi="宋体" w:hint="eastAsia"/>
          <w:sz w:val="24"/>
          <w:szCs w:val="24"/>
        </w:rPr>
        <w:t xml:space="preserve"> </w:t>
      </w:r>
      <w:r>
        <w:rPr>
          <w:rFonts w:ascii="宋体" w:eastAsia="宋体" w:hAnsi="宋体" w:hint="eastAsia"/>
          <w:sz w:val="24"/>
          <w:szCs w:val="24"/>
        </w:rPr>
        <w:t>运动营养食品市场需求分析及预测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2014-2018</w:t>
      </w:r>
      <w:r>
        <w:rPr>
          <w:rFonts w:ascii="宋体" w:eastAsia="宋体" w:hAnsi="宋体" w:hint="eastAsia"/>
          <w:sz w:val="24"/>
          <w:szCs w:val="24"/>
        </w:rPr>
        <w:t>年中国运动营养食品市场需求分析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2019-2025</w:t>
      </w:r>
      <w:r>
        <w:rPr>
          <w:rFonts w:ascii="宋体" w:eastAsia="宋体" w:hAnsi="宋体" w:hint="eastAsia"/>
          <w:sz w:val="24"/>
          <w:szCs w:val="24"/>
        </w:rPr>
        <w:t>年中国运动营养食品市场需求预测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第五节</w:t>
      </w:r>
      <w:r>
        <w:rPr>
          <w:rFonts w:ascii="宋体" w:eastAsia="宋体" w:hAnsi="宋体" w:hint="eastAsia"/>
          <w:sz w:val="24"/>
          <w:szCs w:val="24"/>
        </w:rPr>
        <w:t xml:space="preserve"> </w:t>
      </w:r>
      <w:r>
        <w:rPr>
          <w:rFonts w:ascii="宋体" w:eastAsia="宋体" w:hAnsi="宋体" w:hint="eastAsia"/>
          <w:sz w:val="24"/>
          <w:szCs w:val="24"/>
        </w:rPr>
        <w:t>运动营养食品进出口数据分析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2014-2018</w:t>
      </w:r>
      <w:r>
        <w:rPr>
          <w:rFonts w:ascii="宋体" w:eastAsia="宋体" w:hAnsi="宋体" w:hint="eastAsia"/>
          <w:sz w:val="24"/>
          <w:szCs w:val="24"/>
        </w:rPr>
        <w:t>年中国运动营养食品进出口数据分析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2019-2025</w:t>
      </w:r>
      <w:r>
        <w:rPr>
          <w:rFonts w:ascii="宋体" w:eastAsia="宋体" w:hAnsi="宋体" w:hint="eastAsia"/>
          <w:sz w:val="24"/>
          <w:szCs w:val="24"/>
        </w:rPr>
        <w:t>年国内运动营养食品产品未来进出口情况预测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第五章</w:t>
      </w:r>
      <w:r>
        <w:rPr>
          <w:rFonts w:ascii="宋体" w:eastAsia="宋体" w:hAnsi="宋体" w:hint="eastAsia"/>
          <w:sz w:val="24"/>
          <w:szCs w:val="24"/>
        </w:rPr>
        <w:t xml:space="preserve"> </w:t>
      </w:r>
      <w:r>
        <w:rPr>
          <w:rFonts w:ascii="宋体" w:eastAsia="宋体" w:hAnsi="宋体" w:hint="eastAsia"/>
          <w:sz w:val="24"/>
          <w:szCs w:val="24"/>
        </w:rPr>
        <w:t>运动营养食品产业渠道分析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w:t>
      </w:r>
      <w:r>
        <w:rPr>
          <w:rFonts w:ascii="宋体" w:eastAsia="宋体" w:hAnsi="宋体" w:hint="eastAsia"/>
          <w:sz w:val="24"/>
          <w:szCs w:val="24"/>
        </w:rPr>
        <w:t>2018</w:t>
      </w:r>
      <w:r>
        <w:rPr>
          <w:rFonts w:ascii="宋体" w:eastAsia="宋体" w:hAnsi="宋体" w:hint="eastAsia"/>
          <w:sz w:val="24"/>
          <w:szCs w:val="24"/>
        </w:rPr>
        <w:t>年国内运动营养食品产品的需求地域分布结构</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2014-2018</w:t>
      </w:r>
      <w:r>
        <w:rPr>
          <w:rFonts w:ascii="宋体" w:eastAsia="宋体" w:hAnsi="宋体" w:hint="eastAsia"/>
          <w:sz w:val="24"/>
          <w:szCs w:val="24"/>
        </w:rPr>
        <w:t>年中国运动营养食品产品重点区域市场消费情况分析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一、华东</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二、中南</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三、华北</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四、西部</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2018</w:t>
      </w:r>
      <w:r>
        <w:rPr>
          <w:rFonts w:ascii="宋体" w:eastAsia="宋体" w:hAnsi="宋体" w:hint="eastAsia"/>
          <w:sz w:val="24"/>
          <w:szCs w:val="24"/>
        </w:rPr>
        <w:t>年国内运动营养食品产品的经销模式</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第四节</w:t>
      </w:r>
      <w:r>
        <w:rPr>
          <w:rFonts w:ascii="宋体" w:eastAsia="宋体" w:hAnsi="宋体" w:hint="eastAsia"/>
          <w:sz w:val="24"/>
          <w:szCs w:val="24"/>
        </w:rPr>
        <w:t xml:space="preserve"> </w:t>
      </w:r>
      <w:r>
        <w:rPr>
          <w:rFonts w:ascii="宋体" w:eastAsia="宋体" w:hAnsi="宋体" w:hint="eastAsia"/>
          <w:sz w:val="24"/>
          <w:szCs w:val="24"/>
        </w:rPr>
        <w:t>渠道格局</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第五节</w:t>
      </w:r>
      <w:r>
        <w:rPr>
          <w:rFonts w:ascii="宋体" w:eastAsia="宋体" w:hAnsi="宋体" w:hint="eastAsia"/>
          <w:sz w:val="24"/>
          <w:szCs w:val="24"/>
        </w:rPr>
        <w:t xml:space="preserve"> </w:t>
      </w:r>
      <w:r>
        <w:rPr>
          <w:rFonts w:ascii="宋体" w:eastAsia="宋体" w:hAnsi="宋体" w:hint="eastAsia"/>
          <w:sz w:val="24"/>
          <w:szCs w:val="24"/>
        </w:rPr>
        <w:t>渠道形式</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第六节</w:t>
      </w:r>
      <w:r>
        <w:rPr>
          <w:rFonts w:ascii="宋体" w:eastAsia="宋体" w:hAnsi="宋体" w:hint="eastAsia"/>
          <w:sz w:val="24"/>
          <w:szCs w:val="24"/>
        </w:rPr>
        <w:t xml:space="preserve"> </w:t>
      </w:r>
      <w:r>
        <w:rPr>
          <w:rFonts w:ascii="宋体" w:eastAsia="宋体" w:hAnsi="宋体" w:hint="eastAsia"/>
          <w:sz w:val="24"/>
          <w:szCs w:val="24"/>
        </w:rPr>
        <w:t>渠道要素对比</w:t>
      </w:r>
    </w:p>
    <w:p w:rsidR="00FB764A" w:rsidRDefault="000C261E">
      <w:pPr>
        <w:spacing w:line="360" w:lineRule="auto"/>
        <w:rPr>
          <w:rFonts w:ascii="宋体" w:eastAsia="宋体" w:hAnsi="宋体"/>
          <w:sz w:val="24"/>
          <w:szCs w:val="24"/>
        </w:rPr>
      </w:pPr>
      <w:r>
        <w:rPr>
          <w:rFonts w:ascii="宋体" w:eastAsia="宋体" w:hAnsi="宋体" w:hint="eastAsia"/>
          <w:sz w:val="24"/>
          <w:szCs w:val="24"/>
        </w:rPr>
        <w:lastRenderedPageBreak/>
        <w:t>第七节</w:t>
      </w:r>
      <w:r>
        <w:rPr>
          <w:rFonts w:ascii="宋体" w:eastAsia="宋体" w:hAnsi="宋体" w:hint="eastAsia"/>
          <w:sz w:val="24"/>
          <w:szCs w:val="24"/>
        </w:rPr>
        <w:t xml:space="preserve"> </w:t>
      </w:r>
      <w:r>
        <w:rPr>
          <w:rFonts w:ascii="宋体" w:eastAsia="宋体" w:hAnsi="宋体" w:hint="eastAsia"/>
          <w:sz w:val="24"/>
          <w:szCs w:val="24"/>
        </w:rPr>
        <w:t>运动营养食品行业国际化营销模式分析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第八节</w:t>
      </w:r>
      <w:r>
        <w:rPr>
          <w:rFonts w:ascii="宋体" w:eastAsia="宋体" w:hAnsi="宋体" w:hint="eastAsia"/>
          <w:sz w:val="24"/>
          <w:szCs w:val="24"/>
        </w:rPr>
        <w:t xml:space="preserve"> 2018</w:t>
      </w:r>
      <w:r>
        <w:rPr>
          <w:rFonts w:ascii="宋体" w:eastAsia="宋体" w:hAnsi="宋体" w:hint="eastAsia"/>
          <w:sz w:val="24"/>
          <w:szCs w:val="24"/>
        </w:rPr>
        <w:t>年国内运动营养食品产品生产及销售投资运作模式分析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一、国内生产企业投资运作模式</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二、国内营销企业投资运作模式</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三、外销与内销优势分析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第六章</w:t>
      </w:r>
      <w:r>
        <w:rPr>
          <w:rFonts w:ascii="宋体" w:eastAsia="宋体" w:hAnsi="宋体" w:hint="eastAsia"/>
          <w:sz w:val="24"/>
          <w:szCs w:val="24"/>
        </w:rPr>
        <w:t xml:space="preserve"> </w:t>
      </w:r>
      <w:r>
        <w:rPr>
          <w:rFonts w:ascii="宋体" w:eastAsia="宋体" w:hAnsi="宋体" w:hint="eastAsia"/>
          <w:sz w:val="24"/>
          <w:szCs w:val="24"/>
        </w:rPr>
        <w:t>运动营养食品特色厂商发展分析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w:t>
      </w:r>
      <w:r>
        <w:rPr>
          <w:rFonts w:ascii="宋体" w:eastAsia="宋体" w:hAnsi="宋体" w:hint="eastAsia"/>
          <w:sz w:val="24"/>
          <w:szCs w:val="24"/>
        </w:rPr>
        <w:t>重点企业</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一、企业概况</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二、企业主要经济指标分析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三、企业成长性分析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四、企业经营能力分析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五、企业盈利能力及偿债能力分析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w:t>
      </w:r>
      <w:r>
        <w:rPr>
          <w:rFonts w:ascii="宋体" w:eastAsia="宋体" w:hAnsi="宋体" w:hint="eastAsia"/>
          <w:sz w:val="24"/>
          <w:szCs w:val="24"/>
        </w:rPr>
        <w:t>重点企业</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一、企业概况</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二、企业主要经济指标分析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三、企业成长性分析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四、企业经营能力分析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五、企业盈利能力及偿债能力分析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w:t>
      </w:r>
      <w:r>
        <w:rPr>
          <w:rFonts w:ascii="宋体" w:eastAsia="宋体" w:hAnsi="宋体" w:hint="eastAsia"/>
          <w:sz w:val="24"/>
          <w:szCs w:val="24"/>
        </w:rPr>
        <w:t>重点企业</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一、企业概况</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二、企业主要经济指标分析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lastRenderedPageBreak/>
        <w:t>三、企业成长性分析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四、企业经营能力分析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五、企业盈利能力及偿债能力分析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第四节</w:t>
      </w:r>
      <w:r>
        <w:rPr>
          <w:rFonts w:ascii="宋体" w:eastAsia="宋体" w:hAnsi="宋体" w:hint="eastAsia"/>
          <w:sz w:val="24"/>
          <w:szCs w:val="24"/>
        </w:rPr>
        <w:t xml:space="preserve"> </w:t>
      </w:r>
      <w:r>
        <w:rPr>
          <w:rFonts w:ascii="宋体" w:eastAsia="宋体" w:hAnsi="宋体" w:hint="eastAsia"/>
          <w:sz w:val="24"/>
          <w:szCs w:val="24"/>
        </w:rPr>
        <w:t>重点企业</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一、企业概况</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二、企业主要经济指标分析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三、企业成长性分析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四、企业经营能力分析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五、企业盈利能力及偿债能力分析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第五节</w:t>
      </w:r>
      <w:r>
        <w:rPr>
          <w:rFonts w:ascii="宋体" w:eastAsia="宋体" w:hAnsi="宋体" w:hint="eastAsia"/>
          <w:sz w:val="24"/>
          <w:szCs w:val="24"/>
        </w:rPr>
        <w:t xml:space="preserve"> </w:t>
      </w:r>
      <w:r>
        <w:rPr>
          <w:rFonts w:ascii="宋体" w:eastAsia="宋体" w:hAnsi="宋体" w:hint="eastAsia"/>
          <w:sz w:val="24"/>
          <w:szCs w:val="24"/>
        </w:rPr>
        <w:t>重点企业</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一、企业概况</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二、企业主要经济指标分析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三、企业成长性分析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四、企业经营能力分析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五、企业盈利能力及偿债能力分析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第七章</w:t>
      </w:r>
      <w:r>
        <w:rPr>
          <w:rFonts w:ascii="宋体" w:eastAsia="宋体" w:hAnsi="宋体" w:hint="eastAsia"/>
          <w:sz w:val="24"/>
          <w:szCs w:val="24"/>
        </w:rPr>
        <w:t xml:space="preserve"> </w:t>
      </w:r>
      <w:r>
        <w:rPr>
          <w:rFonts w:ascii="宋体" w:eastAsia="宋体" w:hAnsi="宋体" w:hint="eastAsia"/>
          <w:sz w:val="24"/>
          <w:szCs w:val="24"/>
        </w:rPr>
        <w:t>运动营养食品行业相关产业分析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w:t>
      </w:r>
      <w:r>
        <w:rPr>
          <w:rFonts w:ascii="宋体" w:eastAsia="宋体" w:hAnsi="宋体" w:hint="eastAsia"/>
          <w:sz w:val="24"/>
          <w:szCs w:val="24"/>
        </w:rPr>
        <w:t>运动营养食品行业产业链概述</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w:t>
      </w:r>
      <w:r>
        <w:rPr>
          <w:rFonts w:ascii="宋体" w:eastAsia="宋体" w:hAnsi="宋体" w:hint="eastAsia"/>
          <w:sz w:val="24"/>
          <w:szCs w:val="24"/>
        </w:rPr>
        <w:t>运动营养食品</w:t>
      </w:r>
      <w:r>
        <w:rPr>
          <w:rFonts w:ascii="宋体" w:eastAsia="宋体" w:hAnsi="宋体" w:hint="eastAsia"/>
          <w:sz w:val="24"/>
          <w:szCs w:val="24"/>
        </w:rPr>
        <w:t>X</w:t>
      </w:r>
      <w:r>
        <w:rPr>
          <w:rFonts w:ascii="宋体" w:eastAsia="宋体" w:hAnsi="宋体" w:hint="eastAsia"/>
          <w:sz w:val="24"/>
          <w:szCs w:val="24"/>
        </w:rPr>
        <w:t>上游行业发展状况分析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（一）上游原材料生产情况分析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（一）上游原材料需求情况分析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w:t>
      </w:r>
      <w:r>
        <w:rPr>
          <w:rFonts w:ascii="宋体" w:eastAsia="宋体" w:hAnsi="宋体" w:hint="eastAsia"/>
          <w:sz w:val="24"/>
          <w:szCs w:val="24"/>
        </w:rPr>
        <w:t>运动营养食品下游行业发展情况分析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lastRenderedPageBreak/>
        <w:t>第四节</w:t>
      </w:r>
      <w:r>
        <w:rPr>
          <w:rFonts w:ascii="宋体" w:eastAsia="宋体" w:hAnsi="宋体" w:hint="eastAsia"/>
          <w:sz w:val="24"/>
          <w:szCs w:val="24"/>
        </w:rPr>
        <w:t xml:space="preserve"> </w:t>
      </w:r>
      <w:r>
        <w:rPr>
          <w:rFonts w:ascii="宋体" w:eastAsia="宋体" w:hAnsi="宋体" w:hint="eastAsia"/>
          <w:sz w:val="24"/>
          <w:szCs w:val="24"/>
        </w:rPr>
        <w:t>未来几年内中国运动营养食品行业竞争格局发展趋势分析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第八章</w:t>
      </w:r>
      <w:r>
        <w:rPr>
          <w:rFonts w:ascii="宋体" w:eastAsia="宋体" w:hAnsi="宋体" w:hint="eastAsia"/>
          <w:sz w:val="24"/>
          <w:szCs w:val="24"/>
        </w:rPr>
        <w:t xml:space="preserve"> 2019-2025</w:t>
      </w:r>
      <w:r>
        <w:rPr>
          <w:rFonts w:ascii="宋体" w:eastAsia="宋体" w:hAnsi="宋体" w:hint="eastAsia"/>
          <w:sz w:val="24"/>
          <w:szCs w:val="24"/>
        </w:rPr>
        <w:t>年运动营养食品行业前景展望与趋势预测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w:t>
      </w:r>
      <w:r>
        <w:rPr>
          <w:rFonts w:ascii="宋体" w:eastAsia="宋体" w:hAnsi="宋体" w:hint="eastAsia"/>
          <w:sz w:val="24"/>
          <w:szCs w:val="24"/>
        </w:rPr>
        <w:t>运动营养食品行业投资价值分析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w:t>
      </w:r>
      <w:r>
        <w:rPr>
          <w:rFonts w:ascii="宋体" w:eastAsia="宋体" w:hAnsi="宋体" w:hint="eastAsia"/>
          <w:sz w:val="24"/>
          <w:szCs w:val="24"/>
        </w:rPr>
        <w:t>2019-2025</w:t>
      </w:r>
      <w:r>
        <w:rPr>
          <w:rFonts w:ascii="宋体" w:eastAsia="宋体" w:hAnsi="宋体" w:hint="eastAsia"/>
          <w:sz w:val="24"/>
          <w:szCs w:val="24"/>
        </w:rPr>
        <w:t>年国内运动营养食品行业盈利能力分析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2019-2025</w:t>
      </w:r>
      <w:r>
        <w:rPr>
          <w:rFonts w:ascii="宋体" w:eastAsia="宋体" w:hAnsi="宋体" w:hint="eastAsia"/>
          <w:sz w:val="24"/>
          <w:szCs w:val="24"/>
        </w:rPr>
        <w:t>年国内运动营养食品行业偿债能力分析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w:t>
      </w:r>
      <w:r>
        <w:rPr>
          <w:rFonts w:ascii="宋体" w:eastAsia="宋体" w:hAnsi="宋体" w:hint="eastAsia"/>
          <w:sz w:val="24"/>
          <w:szCs w:val="24"/>
        </w:rPr>
        <w:t>2019-2025</w:t>
      </w:r>
      <w:r>
        <w:rPr>
          <w:rFonts w:ascii="宋体" w:eastAsia="宋体" w:hAnsi="宋体" w:hint="eastAsia"/>
          <w:sz w:val="24"/>
          <w:szCs w:val="24"/>
        </w:rPr>
        <w:t>年国内运动营养食品产品投资收益率分析预测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w:t>
      </w:r>
      <w:r>
        <w:rPr>
          <w:rFonts w:ascii="宋体" w:eastAsia="宋体" w:hAnsi="宋体" w:hint="eastAsia"/>
          <w:sz w:val="24"/>
          <w:szCs w:val="24"/>
        </w:rPr>
        <w:t>2019-2025</w:t>
      </w:r>
      <w:r>
        <w:rPr>
          <w:rFonts w:ascii="宋体" w:eastAsia="宋体" w:hAnsi="宋体" w:hint="eastAsia"/>
          <w:sz w:val="24"/>
          <w:szCs w:val="24"/>
        </w:rPr>
        <w:t>年国内运动营养食品行业运营效率分析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2019-2025</w:t>
      </w:r>
      <w:r>
        <w:rPr>
          <w:rFonts w:ascii="宋体" w:eastAsia="宋体" w:hAnsi="宋体" w:hint="eastAsia"/>
          <w:sz w:val="24"/>
          <w:szCs w:val="24"/>
        </w:rPr>
        <w:t>年国内运动营养食品行业投资机会分析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一、国内强劲的经济增长对运动营养食品行业的支撑因素分析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二、下游行业的需求对运动营养食品行业的推动因素分析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三、运动营养食品产品相关产业的发展对运动营养食品行业的带动因素分析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2019-2025</w:t>
      </w:r>
      <w:r>
        <w:rPr>
          <w:rFonts w:ascii="宋体" w:eastAsia="宋体" w:hAnsi="宋体" w:hint="eastAsia"/>
          <w:sz w:val="24"/>
          <w:szCs w:val="24"/>
        </w:rPr>
        <w:t>年国内运动营养食品行业投资热点及未来投资方向分析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一、产品</w:t>
      </w:r>
      <w:hyperlink r:id="rId6" w:tgtFrame="http://www.cir.cn/R_2012-02/_blank" w:tooltip="发展趋势" w:history="1">
        <w:r>
          <w:rPr>
            <w:rFonts w:ascii="宋体" w:eastAsia="宋体" w:hAnsi="宋体" w:hint="eastAsia"/>
            <w:sz w:val="24"/>
            <w:szCs w:val="24"/>
          </w:rPr>
          <w:t>发展趋势</w:t>
        </w:r>
      </w:hyperlink>
    </w:p>
    <w:p w:rsidR="00FB764A" w:rsidRDefault="000C261E">
      <w:pPr>
        <w:spacing w:line="360" w:lineRule="auto"/>
        <w:rPr>
          <w:rFonts w:ascii="宋体" w:eastAsia="宋体" w:hAnsi="宋体"/>
          <w:sz w:val="24"/>
          <w:szCs w:val="24"/>
        </w:rPr>
      </w:pPr>
      <w:r>
        <w:rPr>
          <w:rFonts w:ascii="宋体" w:eastAsia="宋体" w:hAnsi="宋体" w:hint="eastAsia"/>
          <w:sz w:val="24"/>
          <w:szCs w:val="24"/>
        </w:rPr>
        <w:t>二、价格变化趋势</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三、用户需求结构趋势</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第四节</w:t>
      </w:r>
      <w:r>
        <w:rPr>
          <w:rFonts w:ascii="宋体" w:eastAsia="宋体" w:hAnsi="宋体" w:hint="eastAsia"/>
          <w:sz w:val="24"/>
          <w:szCs w:val="24"/>
        </w:rPr>
        <w:t xml:space="preserve"> 2019-2025</w:t>
      </w:r>
      <w:r>
        <w:rPr>
          <w:rFonts w:ascii="宋体" w:eastAsia="宋体" w:hAnsi="宋体" w:hint="eastAsia"/>
          <w:sz w:val="24"/>
          <w:szCs w:val="24"/>
        </w:rPr>
        <w:t>年国内运动营养食品行业未来市场</w:t>
      </w:r>
      <w:hyperlink r:id="rId7" w:tgtFrame="http://www.cir.cn/R_2012-02/_blank" w:tooltip="发展前景" w:history="1">
        <w:r>
          <w:rPr>
            <w:rFonts w:ascii="宋体" w:eastAsia="宋体" w:hAnsi="宋体" w:hint="eastAsia"/>
            <w:sz w:val="24"/>
            <w:szCs w:val="24"/>
          </w:rPr>
          <w:t>发展前景</w:t>
        </w:r>
      </w:hyperlink>
      <w:r>
        <w:rPr>
          <w:rFonts w:ascii="宋体" w:eastAsia="宋体" w:hAnsi="宋体" w:hint="eastAsia"/>
          <w:sz w:val="24"/>
          <w:szCs w:val="24"/>
        </w:rPr>
        <w:t>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一、市场规模预测分析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二、市场结构预测分析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三、市场供需情况预测</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第九章</w:t>
      </w:r>
      <w:r>
        <w:rPr>
          <w:rFonts w:ascii="宋体" w:eastAsia="宋体" w:hAnsi="宋体" w:hint="eastAsia"/>
          <w:sz w:val="24"/>
          <w:szCs w:val="24"/>
        </w:rPr>
        <w:t xml:space="preserve"> 2019-2025</w:t>
      </w:r>
      <w:r>
        <w:rPr>
          <w:rFonts w:ascii="宋体" w:eastAsia="宋体" w:hAnsi="宋体" w:hint="eastAsia"/>
          <w:sz w:val="24"/>
          <w:szCs w:val="24"/>
        </w:rPr>
        <w:t>年运动营养食品行业投资战略研究</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第一节</w:t>
      </w:r>
      <w:r>
        <w:rPr>
          <w:rFonts w:ascii="宋体" w:eastAsia="宋体" w:hAnsi="宋体" w:hint="eastAsia"/>
          <w:sz w:val="24"/>
          <w:szCs w:val="24"/>
        </w:rPr>
        <w:t xml:space="preserve"> 2019-2025</w:t>
      </w:r>
      <w:r>
        <w:rPr>
          <w:rFonts w:ascii="宋体" w:eastAsia="宋体" w:hAnsi="宋体" w:hint="eastAsia"/>
          <w:sz w:val="24"/>
          <w:szCs w:val="24"/>
        </w:rPr>
        <w:t>年中国运动营养食品行业发展的关键要素</w:t>
      </w:r>
    </w:p>
    <w:p w:rsidR="00FB764A" w:rsidRDefault="000C261E">
      <w:pPr>
        <w:spacing w:line="360" w:lineRule="auto"/>
        <w:rPr>
          <w:rFonts w:ascii="宋体" w:eastAsia="宋体" w:hAnsi="宋体"/>
          <w:sz w:val="24"/>
          <w:szCs w:val="24"/>
        </w:rPr>
      </w:pPr>
      <w:r>
        <w:rPr>
          <w:rFonts w:ascii="宋体" w:eastAsia="宋体" w:hAnsi="宋体" w:hint="eastAsia"/>
          <w:sz w:val="24"/>
          <w:szCs w:val="24"/>
        </w:rPr>
        <w:lastRenderedPageBreak/>
        <w:t>一、生产要素</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二、需求条件</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三、支援与相关产业</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四、企业战略、结构与竞争状态</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五、政府的作用</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hint="eastAsia"/>
          <w:sz w:val="24"/>
          <w:szCs w:val="24"/>
        </w:rPr>
        <w:t xml:space="preserve"> 2019-2025</w:t>
      </w:r>
      <w:r>
        <w:rPr>
          <w:rFonts w:ascii="宋体" w:eastAsia="宋体" w:hAnsi="宋体" w:hint="eastAsia"/>
          <w:sz w:val="24"/>
          <w:szCs w:val="24"/>
        </w:rPr>
        <w:t>年中国运动营养食品投资机会分析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一、运动营养食品行业投资前景</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二、运动营养食品行业投资热点</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三、运动营养食品行业投资区域</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四、运动营养食品行业投资吸引力分析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第三节</w:t>
      </w:r>
      <w:r>
        <w:rPr>
          <w:rFonts w:ascii="宋体" w:eastAsia="宋体" w:hAnsi="宋体" w:hint="eastAsia"/>
          <w:sz w:val="24"/>
          <w:szCs w:val="24"/>
        </w:rPr>
        <w:t xml:space="preserve"> </w:t>
      </w:r>
      <w:r>
        <w:rPr>
          <w:rFonts w:ascii="宋体" w:eastAsia="宋体" w:hAnsi="宋体" w:hint="eastAsia"/>
          <w:sz w:val="24"/>
          <w:szCs w:val="24"/>
        </w:rPr>
        <w:t>2019-2025</w:t>
      </w:r>
      <w:r>
        <w:rPr>
          <w:rFonts w:ascii="宋体" w:eastAsia="宋体" w:hAnsi="宋体" w:hint="eastAsia"/>
          <w:sz w:val="24"/>
          <w:szCs w:val="24"/>
        </w:rPr>
        <w:t>年中国运动营养食品投资风险分析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一、技术风险分析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二、原材料风险分析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三、政策</w:t>
      </w:r>
      <w:r>
        <w:rPr>
          <w:rFonts w:ascii="宋体" w:eastAsia="宋体" w:hAnsi="宋体" w:hint="eastAsia"/>
          <w:sz w:val="24"/>
          <w:szCs w:val="24"/>
        </w:rPr>
        <w:t>/</w:t>
      </w:r>
      <w:r>
        <w:rPr>
          <w:rFonts w:ascii="宋体" w:eastAsia="宋体" w:hAnsi="宋体" w:hint="eastAsia"/>
          <w:sz w:val="24"/>
          <w:szCs w:val="24"/>
        </w:rPr>
        <w:t>体制风险分析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四、进入</w:t>
      </w:r>
      <w:r>
        <w:rPr>
          <w:rFonts w:ascii="宋体" w:eastAsia="宋体" w:hAnsi="宋体" w:hint="eastAsia"/>
          <w:sz w:val="24"/>
          <w:szCs w:val="24"/>
        </w:rPr>
        <w:t>/</w:t>
      </w:r>
      <w:r>
        <w:rPr>
          <w:rFonts w:ascii="宋体" w:eastAsia="宋体" w:hAnsi="宋体" w:hint="eastAsia"/>
          <w:sz w:val="24"/>
          <w:szCs w:val="24"/>
        </w:rPr>
        <w:t>退出风险分析</w:t>
      </w:r>
    </w:p>
    <w:p w:rsidR="00FB764A" w:rsidRDefault="000C261E">
      <w:pPr>
        <w:spacing w:line="360" w:lineRule="auto"/>
        <w:rPr>
          <w:rFonts w:ascii="宋体" w:eastAsia="宋体" w:hAnsi="宋体"/>
          <w:sz w:val="24"/>
          <w:szCs w:val="24"/>
        </w:rPr>
      </w:pPr>
      <w:r>
        <w:rPr>
          <w:rFonts w:ascii="宋体" w:eastAsia="宋体" w:hAnsi="宋体" w:hint="eastAsia"/>
          <w:sz w:val="24"/>
          <w:szCs w:val="24"/>
        </w:rPr>
        <w:t>五、经营管理风险分析</w:t>
      </w:r>
    </w:p>
    <w:p w:rsidR="00FB764A" w:rsidRDefault="00FB764A">
      <w:pPr>
        <w:spacing w:line="360" w:lineRule="auto"/>
        <w:rPr>
          <w:rFonts w:ascii="宋体" w:eastAsia="宋体" w:hAnsi="宋体"/>
          <w:sz w:val="24"/>
          <w:szCs w:val="24"/>
        </w:rPr>
      </w:pPr>
    </w:p>
    <w:sectPr w:rsidR="00FB76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C261E"/>
    <w:rsid w:val="001127DA"/>
    <w:rsid w:val="001247B5"/>
    <w:rsid w:val="002C35BC"/>
    <w:rsid w:val="00323B43"/>
    <w:rsid w:val="00326561"/>
    <w:rsid w:val="003D37D8"/>
    <w:rsid w:val="00426133"/>
    <w:rsid w:val="004358AB"/>
    <w:rsid w:val="005B1329"/>
    <w:rsid w:val="006152BD"/>
    <w:rsid w:val="006E1C52"/>
    <w:rsid w:val="0078663D"/>
    <w:rsid w:val="00876C48"/>
    <w:rsid w:val="00896347"/>
    <w:rsid w:val="00896506"/>
    <w:rsid w:val="008B7726"/>
    <w:rsid w:val="008D38B3"/>
    <w:rsid w:val="009D3542"/>
    <w:rsid w:val="009F00FD"/>
    <w:rsid w:val="00B6044C"/>
    <w:rsid w:val="00B97C08"/>
    <w:rsid w:val="00D31D50"/>
    <w:rsid w:val="00FB764A"/>
    <w:rsid w:val="01076324"/>
    <w:rsid w:val="01E5646F"/>
    <w:rsid w:val="02BD00C7"/>
    <w:rsid w:val="03095887"/>
    <w:rsid w:val="045215C6"/>
    <w:rsid w:val="045A72F5"/>
    <w:rsid w:val="04653E64"/>
    <w:rsid w:val="04786B9F"/>
    <w:rsid w:val="04DB0967"/>
    <w:rsid w:val="05372E15"/>
    <w:rsid w:val="05585987"/>
    <w:rsid w:val="06924CFC"/>
    <w:rsid w:val="06B56152"/>
    <w:rsid w:val="06C91665"/>
    <w:rsid w:val="06E24D78"/>
    <w:rsid w:val="071551CF"/>
    <w:rsid w:val="07AE0242"/>
    <w:rsid w:val="0917678F"/>
    <w:rsid w:val="09435005"/>
    <w:rsid w:val="09846D3A"/>
    <w:rsid w:val="09AA7130"/>
    <w:rsid w:val="0ABB13A4"/>
    <w:rsid w:val="0B332592"/>
    <w:rsid w:val="0B5A7C80"/>
    <w:rsid w:val="0BB5650F"/>
    <w:rsid w:val="0BF47B39"/>
    <w:rsid w:val="0C925123"/>
    <w:rsid w:val="0CDE3D78"/>
    <w:rsid w:val="0D110DFB"/>
    <w:rsid w:val="0D14701F"/>
    <w:rsid w:val="0DA4085A"/>
    <w:rsid w:val="0F4F6176"/>
    <w:rsid w:val="0F784339"/>
    <w:rsid w:val="0F7A5515"/>
    <w:rsid w:val="0F874BE0"/>
    <w:rsid w:val="0F974379"/>
    <w:rsid w:val="0FC51BCD"/>
    <w:rsid w:val="105B7561"/>
    <w:rsid w:val="108B1A2B"/>
    <w:rsid w:val="10ED7FF1"/>
    <w:rsid w:val="11141F03"/>
    <w:rsid w:val="114E63F4"/>
    <w:rsid w:val="11701F28"/>
    <w:rsid w:val="12F73123"/>
    <w:rsid w:val="131A7DF8"/>
    <w:rsid w:val="133D1796"/>
    <w:rsid w:val="141C3993"/>
    <w:rsid w:val="151E3FB9"/>
    <w:rsid w:val="1529502F"/>
    <w:rsid w:val="15AE2879"/>
    <w:rsid w:val="15DB7E89"/>
    <w:rsid w:val="163527E9"/>
    <w:rsid w:val="16B54F00"/>
    <w:rsid w:val="16BF1736"/>
    <w:rsid w:val="16D829C1"/>
    <w:rsid w:val="175D69EE"/>
    <w:rsid w:val="184B3E99"/>
    <w:rsid w:val="184B7B6C"/>
    <w:rsid w:val="18A51BC3"/>
    <w:rsid w:val="19F51B92"/>
    <w:rsid w:val="1A743293"/>
    <w:rsid w:val="1AD173E1"/>
    <w:rsid w:val="1C213A1E"/>
    <w:rsid w:val="1C405926"/>
    <w:rsid w:val="1CB6427B"/>
    <w:rsid w:val="1D045A7E"/>
    <w:rsid w:val="1D86093D"/>
    <w:rsid w:val="1E0F3A1D"/>
    <w:rsid w:val="1E583510"/>
    <w:rsid w:val="1EEE397F"/>
    <w:rsid w:val="1F116FDA"/>
    <w:rsid w:val="2030271E"/>
    <w:rsid w:val="20A41A77"/>
    <w:rsid w:val="22AA70DA"/>
    <w:rsid w:val="22C0132A"/>
    <w:rsid w:val="23E63691"/>
    <w:rsid w:val="24564D7F"/>
    <w:rsid w:val="248913D0"/>
    <w:rsid w:val="254213F0"/>
    <w:rsid w:val="25BE730E"/>
    <w:rsid w:val="25D91A58"/>
    <w:rsid w:val="2748694C"/>
    <w:rsid w:val="28BC0104"/>
    <w:rsid w:val="28E53883"/>
    <w:rsid w:val="290F2E00"/>
    <w:rsid w:val="29A212C3"/>
    <w:rsid w:val="2AA61BB0"/>
    <w:rsid w:val="2AE97C16"/>
    <w:rsid w:val="2B927FFE"/>
    <w:rsid w:val="2BA23D81"/>
    <w:rsid w:val="2C2801EA"/>
    <w:rsid w:val="2C9369D1"/>
    <w:rsid w:val="2D432EF8"/>
    <w:rsid w:val="2D4B08E8"/>
    <w:rsid w:val="2D623CAA"/>
    <w:rsid w:val="2D6D0015"/>
    <w:rsid w:val="2D835B89"/>
    <w:rsid w:val="2E8060BB"/>
    <w:rsid w:val="2F33742E"/>
    <w:rsid w:val="2F630F14"/>
    <w:rsid w:val="2F963BB6"/>
    <w:rsid w:val="2FA8325A"/>
    <w:rsid w:val="2FCB74A1"/>
    <w:rsid w:val="30365223"/>
    <w:rsid w:val="30CC7C4B"/>
    <w:rsid w:val="31484378"/>
    <w:rsid w:val="318215E1"/>
    <w:rsid w:val="319660FB"/>
    <w:rsid w:val="32511365"/>
    <w:rsid w:val="325D6259"/>
    <w:rsid w:val="32F73954"/>
    <w:rsid w:val="338301F5"/>
    <w:rsid w:val="340473B7"/>
    <w:rsid w:val="348635B1"/>
    <w:rsid w:val="35090A1F"/>
    <w:rsid w:val="352F08B7"/>
    <w:rsid w:val="358B3D18"/>
    <w:rsid w:val="35A06B99"/>
    <w:rsid w:val="35D67818"/>
    <w:rsid w:val="35E55AEA"/>
    <w:rsid w:val="36DE0138"/>
    <w:rsid w:val="37073E17"/>
    <w:rsid w:val="3729430F"/>
    <w:rsid w:val="378C57D0"/>
    <w:rsid w:val="37EC1CA0"/>
    <w:rsid w:val="38A761FB"/>
    <w:rsid w:val="3A4F126B"/>
    <w:rsid w:val="3B1F2B5C"/>
    <w:rsid w:val="3B551498"/>
    <w:rsid w:val="3BCB1CDF"/>
    <w:rsid w:val="3C381F65"/>
    <w:rsid w:val="3C69619A"/>
    <w:rsid w:val="3C956D00"/>
    <w:rsid w:val="3E0423ED"/>
    <w:rsid w:val="3E3349D0"/>
    <w:rsid w:val="3E9620C1"/>
    <w:rsid w:val="402A4A5A"/>
    <w:rsid w:val="41017CD4"/>
    <w:rsid w:val="419E480B"/>
    <w:rsid w:val="42423748"/>
    <w:rsid w:val="42ED13E1"/>
    <w:rsid w:val="43950BE4"/>
    <w:rsid w:val="4421517F"/>
    <w:rsid w:val="442F02DF"/>
    <w:rsid w:val="44AF6634"/>
    <w:rsid w:val="44F0445C"/>
    <w:rsid w:val="450E1C98"/>
    <w:rsid w:val="458022BD"/>
    <w:rsid w:val="45A35E31"/>
    <w:rsid w:val="45B9329A"/>
    <w:rsid w:val="460F0C50"/>
    <w:rsid w:val="4656019F"/>
    <w:rsid w:val="46C87B86"/>
    <w:rsid w:val="476C0138"/>
    <w:rsid w:val="489100FA"/>
    <w:rsid w:val="489F49B4"/>
    <w:rsid w:val="4A675D19"/>
    <w:rsid w:val="4BA6510C"/>
    <w:rsid w:val="4BCE41C5"/>
    <w:rsid w:val="4BD35219"/>
    <w:rsid w:val="4C6A5809"/>
    <w:rsid w:val="4C73108C"/>
    <w:rsid w:val="4CDE4BBC"/>
    <w:rsid w:val="4D0140C0"/>
    <w:rsid w:val="4E1F1EBC"/>
    <w:rsid w:val="4E371AA4"/>
    <w:rsid w:val="4E636674"/>
    <w:rsid w:val="4EE70A50"/>
    <w:rsid w:val="4FF977F6"/>
    <w:rsid w:val="4FFC29C8"/>
    <w:rsid w:val="501838BD"/>
    <w:rsid w:val="5091227E"/>
    <w:rsid w:val="50AB7977"/>
    <w:rsid w:val="51C05323"/>
    <w:rsid w:val="51DB11E3"/>
    <w:rsid w:val="5249559F"/>
    <w:rsid w:val="53A47C59"/>
    <w:rsid w:val="53CB3A57"/>
    <w:rsid w:val="54275632"/>
    <w:rsid w:val="54C530A0"/>
    <w:rsid w:val="554F41DD"/>
    <w:rsid w:val="55545D3C"/>
    <w:rsid w:val="55983E0D"/>
    <w:rsid w:val="56030D65"/>
    <w:rsid w:val="5771608F"/>
    <w:rsid w:val="57D77904"/>
    <w:rsid w:val="58497EC0"/>
    <w:rsid w:val="589B1A74"/>
    <w:rsid w:val="59324AF9"/>
    <w:rsid w:val="5A382A7F"/>
    <w:rsid w:val="5AD63146"/>
    <w:rsid w:val="5B0C2DD2"/>
    <w:rsid w:val="5C1C6751"/>
    <w:rsid w:val="5CE82784"/>
    <w:rsid w:val="5E6F6C34"/>
    <w:rsid w:val="5EBF4968"/>
    <w:rsid w:val="5ED043EE"/>
    <w:rsid w:val="5F701209"/>
    <w:rsid w:val="60593A9C"/>
    <w:rsid w:val="611B30CE"/>
    <w:rsid w:val="61A577C3"/>
    <w:rsid w:val="61A95042"/>
    <w:rsid w:val="61D06F59"/>
    <w:rsid w:val="61F6348E"/>
    <w:rsid w:val="629E5838"/>
    <w:rsid w:val="630C538C"/>
    <w:rsid w:val="63486DE3"/>
    <w:rsid w:val="655E4393"/>
    <w:rsid w:val="656A586E"/>
    <w:rsid w:val="66A766C9"/>
    <w:rsid w:val="67512A40"/>
    <w:rsid w:val="684D3A38"/>
    <w:rsid w:val="68563C77"/>
    <w:rsid w:val="6872140D"/>
    <w:rsid w:val="68B569EA"/>
    <w:rsid w:val="693F40C1"/>
    <w:rsid w:val="69955C98"/>
    <w:rsid w:val="6A371662"/>
    <w:rsid w:val="6A48069D"/>
    <w:rsid w:val="6A4A387E"/>
    <w:rsid w:val="6ACC63A0"/>
    <w:rsid w:val="6ADA5740"/>
    <w:rsid w:val="6AE37F1C"/>
    <w:rsid w:val="6B1D5616"/>
    <w:rsid w:val="6B2B0559"/>
    <w:rsid w:val="6B573205"/>
    <w:rsid w:val="6BA15CF9"/>
    <w:rsid w:val="6BD311B6"/>
    <w:rsid w:val="6BEF78A1"/>
    <w:rsid w:val="6C1F446E"/>
    <w:rsid w:val="6CF2459D"/>
    <w:rsid w:val="6D0A5EB8"/>
    <w:rsid w:val="6E3D1A16"/>
    <w:rsid w:val="6E565585"/>
    <w:rsid w:val="6E8916F9"/>
    <w:rsid w:val="6EDD2EA4"/>
    <w:rsid w:val="6F1F037B"/>
    <w:rsid w:val="70AC2234"/>
    <w:rsid w:val="713E1802"/>
    <w:rsid w:val="733B3CE0"/>
    <w:rsid w:val="734971C1"/>
    <w:rsid w:val="73666803"/>
    <w:rsid w:val="74157D3C"/>
    <w:rsid w:val="74252CCF"/>
    <w:rsid w:val="744027BB"/>
    <w:rsid w:val="744E76C6"/>
    <w:rsid w:val="74F37005"/>
    <w:rsid w:val="74F735F7"/>
    <w:rsid w:val="75664E9A"/>
    <w:rsid w:val="768F65A5"/>
    <w:rsid w:val="77332318"/>
    <w:rsid w:val="773E7629"/>
    <w:rsid w:val="7745623D"/>
    <w:rsid w:val="7779177C"/>
    <w:rsid w:val="77FC620E"/>
    <w:rsid w:val="78967B1A"/>
    <w:rsid w:val="7966497C"/>
    <w:rsid w:val="7A40497E"/>
    <w:rsid w:val="7A773F47"/>
    <w:rsid w:val="7AE2432F"/>
    <w:rsid w:val="7B4E6600"/>
    <w:rsid w:val="7BA76B61"/>
    <w:rsid w:val="7BC10189"/>
    <w:rsid w:val="7CD13290"/>
    <w:rsid w:val="7DE90B30"/>
    <w:rsid w:val="7E0C4C95"/>
    <w:rsid w:val="7E125A6F"/>
    <w:rsid w:val="7E133A9C"/>
    <w:rsid w:val="7E8A60D3"/>
    <w:rsid w:val="7ED36E49"/>
    <w:rsid w:val="7F911AED"/>
    <w:rsid w:val="7F93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4F37"/>
  <w15:docId w15:val="{6577185E-7B10-4F8D-8BAF-2F46B0A5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pPr>
      <w:spacing w:beforeAutospacing="1" w:after="0" w:afterAutospacing="1"/>
      <w:outlineLvl w:val="0"/>
    </w:pPr>
    <w:rPr>
      <w:rFonts w:ascii="宋体" w:eastAsia="宋体" w:hAnsi="宋体" w:cs="Times New Roman" w:hint="eastAsia"/>
      <w:b/>
      <w:kern w:val="44"/>
      <w:sz w:val="48"/>
      <w:szCs w:val="48"/>
    </w:rPr>
  </w:style>
  <w:style w:type="paragraph" w:styleId="2">
    <w:name w:val="heading 2"/>
    <w:basedOn w:val="a"/>
    <w:next w:val="a"/>
    <w:link w:val="20"/>
    <w:uiPriority w:val="9"/>
    <w:qFormat/>
    <w:pPr>
      <w:adjustRightInd/>
      <w:snapToGrid/>
      <w:spacing w:before="100" w:beforeAutospacing="1" w:after="100" w:afterAutospacing="1"/>
      <w:outlineLvl w:val="1"/>
    </w:pPr>
    <w:rPr>
      <w:rFonts w:ascii="宋体" w:eastAsia="宋体" w:hAnsi="宋体" w:cs="宋体"/>
      <w:b/>
      <w:bCs/>
      <w:sz w:val="36"/>
      <w:szCs w:val="36"/>
    </w:rPr>
  </w:style>
  <w:style w:type="paragraph" w:styleId="3">
    <w:name w:val="heading 3"/>
    <w:basedOn w:val="a"/>
    <w:next w:val="a"/>
    <w:link w:val="30"/>
    <w:uiPriority w:val="9"/>
    <w:qFormat/>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semiHidden/>
    <w:unhideWhenUsed/>
    <w:qFormat/>
    <w:pPr>
      <w:spacing w:beforeAutospacing="1" w:after="0" w:afterAutospacing="1"/>
    </w:pPr>
    <w:rPr>
      <w:rFonts w:cs="Times New Roman"/>
      <w:sz w:val="24"/>
    </w:rPr>
  </w:style>
  <w:style w:type="character" w:styleId="a8">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rFonts w:ascii="Tahoma" w:hAnsi="Tahoma"/>
      <w:sz w:val="18"/>
      <w:szCs w:val="18"/>
    </w:rPr>
  </w:style>
  <w:style w:type="character" w:customStyle="1" w:styleId="a4">
    <w:name w:val="页脚 字符"/>
    <w:basedOn w:val="a0"/>
    <w:link w:val="a3"/>
    <w:uiPriority w:val="99"/>
    <w:qFormat/>
    <w:rPr>
      <w:rFonts w:ascii="Tahoma" w:hAnsi="Tahoma"/>
      <w:sz w:val="18"/>
      <w:szCs w:val="18"/>
    </w:rPr>
  </w:style>
  <w:style w:type="paragraph" w:styleId="a9">
    <w:name w:val="List Paragraph"/>
    <w:basedOn w:val="a"/>
    <w:uiPriority w:val="34"/>
    <w:qFormat/>
    <w:pPr>
      <w:ind w:firstLineChars="200" w:firstLine="420"/>
    </w:pPr>
  </w:style>
  <w:style w:type="character" w:customStyle="1" w:styleId="20">
    <w:name w:val="标题 2 字符"/>
    <w:basedOn w:val="a0"/>
    <w:link w:val="2"/>
    <w:uiPriority w:val="9"/>
    <w:qFormat/>
    <w:rPr>
      <w:rFonts w:ascii="宋体" w:eastAsia="宋体" w:hAnsi="宋体" w:cs="宋体"/>
      <w:b/>
      <w:bCs/>
      <w:sz w:val="36"/>
      <w:szCs w:val="36"/>
    </w:rPr>
  </w:style>
  <w:style w:type="character" w:customStyle="1" w:styleId="30">
    <w:name w:val="标题 3 字符"/>
    <w:basedOn w:val="a0"/>
    <w:link w:val="3"/>
    <w:uiPriority w:val="9"/>
    <w:qFormat/>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r.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ir.cn/" TargetMode="External"/><Relationship Id="rId5" Type="http://schemas.openxmlformats.org/officeDocument/2006/relationships/hyperlink" Target="http://www.cir.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13810353970</cp:lastModifiedBy>
  <cp:revision>5</cp:revision>
  <dcterms:created xsi:type="dcterms:W3CDTF">2019-02-01T01:56:00Z</dcterms:created>
  <dcterms:modified xsi:type="dcterms:W3CDTF">2020-01-01T00:17:00Z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