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BB0" w:rsidRDefault="002958E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维生素食品</w:t>
      </w:r>
      <w:bookmarkStart w:id="0" w:name="_GoBack"/>
      <w:bookmarkEnd w:id="0"/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维生素食品行业研究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年维生素食品行业研究分析报告</w:t>
      </w:r>
      <w:bookmarkEnd w:id="1"/>
    </w:p>
    <w:p w:rsidR="002958E9" w:rsidRDefault="002958E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【报告编号】180131SP255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维生素食品产品概述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产品定义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产品用途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维生素食品市场特点分析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一、产品特征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二、价格特征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三、渠道特征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四、购买特征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行业发展周期特征分析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维生素食品行业环境分析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中国经济发展环境分析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三、固定资产投资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三、城镇人员从业状况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四、恩格尔系数分析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年中国宏观经济发展预测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中国维生素食品行业政策环境分析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一、产业政策分析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二、相关产业政策影响分析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中国维生素食品行业技术环境分析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一、中国维生素食品技术发展概况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二、中国维生素食品产品工艺特点或流程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三、中国维生素食品行业技术发展趋势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全球维生素食品市场分析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维生素食品产能分析及预测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年全球维生素食品产能分析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年全球维生素食品产能预测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维生素食品产品产量分析及预测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年全球维生素食品产量分析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年全球维生素食品产量预测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维生素食品市场需求分析及预测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年全球维生素食品市场需求分析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年全球维生素食品市场需求预测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中国维生素食品市场分析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维生素食品市场现状分析及预测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年中国维生素食品市场规模分析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年中国维生素食品市场规模预测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维生素食品产品产能分析及预测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年中国维生素食品产能分析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年中国维生素食品产能预测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维生素食品产品产量分析及预测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年中国维生素食品产量分析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年中国维生素食品产量预测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维生素食品市场需求分析及预测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年中国维生素食品市场需求分析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年中国维生素食品市场需求预测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维生素食品进出口数据分析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年中国维生素食品进出口数据分析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年国内维生素食品产品未来进出口情况预测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维生素食品产业渠道分析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年国内维生素食品产品的需求地域分布结构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年中国维生素食品产品重点区域市场消费情况分析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一、华东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二、中南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三、华北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四、西部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年国内维生素食品产品的经销模式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渠道格局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渠道形式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渠道要素对比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第七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维生素食品行业国际化营销模式分析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年国内维生素食品产品生产及销售投资运作模式分析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一、国内生产企业投资运作模式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二、国内营销企业投资运作模式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三、外销与内销优势分析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维生素食品特色厂商发展分析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三、企业成长性分析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维生素食品行业相关产业分析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维生素食品行业产业链概述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</w:t>
      </w:r>
      <w:r>
        <w:rPr>
          <w:rFonts w:ascii="宋体" w:eastAsia="宋体" w:hAnsi="宋体" w:hint="eastAsia"/>
          <w:sz w:val="24"/>
          <w:szCs w:val="24"/>
        </w:rPr>
        <w:t>X</w:t>
      </w:r>
      <w:r>
        <w:rPr>
          <w:rFonts w:ascii="宋体" w:eastAsia="宋体" w:hAnsi="宋体" w:hint="eastAsia"/>
          <w:sz w:val="24"/>
          <w:szCs w:val="24"/>
        </w:rPr>
        <w:t>上游行业发展状况分析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（一）上游原材料生产情</w:t>
      </w:r>
      <w:r>
        <w:rPr>
          <w:rFonts w:ascii="宋体" w:eastAsia="宋体" w:hAnsi="宋体" w:hint="eastAsia"/>
          <w:sz w:val="24"/>
          <w:szCs w:val="24"/>
        </w:rPr>
        <w:t>况分析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（一）上游原材料需求情况分析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维生素食品下游行业发展情况分析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未来几年内中国维生素食品行业竞争格局发展趋势分析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年维生素食品行业前景展望与趋势预测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维生素食品行业投资价值分析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年国内维生素食品行业盈利能力分析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年国内维生素食品行业偿债能力分析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年国内维生素食品产品投资收益率分析预测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年国内维生素食品行业运营效率分析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年国内维生素食品行业投资机会分析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一、国内强劲的经济增长对维生素食品行业的支撑因素分析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二、下游行业的需求对维生素食品行业的推动因素分析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三、维生素食品产品相关产业的发展对维生素食品行业的带动因素分析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年国内维生素食品行业投资热点及未来投资方向分析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一、产品发展趋势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二、价格变化趋势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三、用户需求结构趋势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年国内维生素食品行业未来市场</w:t>
      </w:r>
      <w:hyperlink r:id="rId5" w:tgtFrame="http://www.cir.cn/R_2012-02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一、市场规模预测分析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二、市场结构预测分析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三、市场供需情况预测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年维生素食品行业投资战略研究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年中国维生素食品行业发展的关键要素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一、生产要素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二、需求条件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三、支援与相关产业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五、政府的作用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年中国维生素食品投资机会分析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一、维生素食品行业投资前景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二、维生素食品行业投资热点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三、维生素食品行业投资区域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四、维生素食品行业投资吸引力分析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年中国维生素食品投资风险分析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一、技术风险分析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二、原材料风险分析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三、政策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体制风险分析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退出风险分析</w:t>
      </w:r>
    </w:p>
    <w:p w:rsidR="00856BB0" w:rsidRDefault="002958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五、经营管理风险分析</w:t>
      </w:r>
    </w:p>
    <w:p w:rsidR="00856BB0" w:rsidRDefault="00856BB0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856B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958E9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56BB0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014D1"/>
  <w15:docId w15:val="{B1DB4737-5593-4212-AE06-F79CB995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