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F37" w:rsidRDefault="00A81F37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低脂食品</w:t>
      </w:r>
      <w:bookmarkStart w:id="0" w:name="_GoBack"/>
      <w:bookmarkEnd w:id="0"/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年低脂食品行业调研分析报告"/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年低脂食品行业调研分析报告</w:t>
      </w:r>
      <w:bookmarkEnd w:id="1"/>
    </w:p>
    <w:p w:rsidR="00A81F37" w:rsidRDefault="00A81F37" w:rsidP="00A81F37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【报告编号】180131SP283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低脂食品产品概述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产品定义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产品用途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低脂食品市场特点分析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一、产品特征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二、价格特征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三、渠道特征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四、购买特征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行业发展周期特征分析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低脂食品行业环境分析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中国经济发展环境分析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</w:t>
      </w:r>
      <w:r>
        <w:rPr>
          <w:rFonts w:ascii="宋体" w:eastAsia="宋体" w:hAnsi="宋体" w:hint="eastAsia"/>
          <w:sz w:val="24"/>
          <w:szCs w:val="24"/>
        </w:rPr>
        <w:t>GDP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三、固定资产投资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三、城镇人员从业状况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四、恩格尔系数分析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年中国宏观经济发展预测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中国低脂食品行业政策环境分析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一、产业政策分析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二、相关产业政策影响分析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中国低脂食品行业技术环境分析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一、中国低脂食品技术发展概况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二、中国低脂食品产品工艺特点或流程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三、中国低脂食品行业技术发展趋势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全球低脂食品</w:t>
      </w:r>
      <w:hyperlink r:id="rId5" w:tgtFrame="http://www.cir.cn/R_2012-02/_blank" w:tooltip="市场分析" w:history="1">
        <w:r>
          <w:rPr>
            <w:rFonts w:ascii="宋体" w:eastAsia="宋体" w:hAnsi="宋体" w:hint="eastAsia"/>
            <w:sz w:val="24"/>
            <w:szCs w:val="24"/>
          </w:rPr>
          <w:t>市场分析</w:t>
        </w:r>
      </w:hyperlink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低脂食品产能分析及预测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年全球低脂食品产能分析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年全球低脂食品产能预测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低脂食品产品产量分析及预测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年全球低脂食品产量分析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年全球低脂食品产量预测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低脂食品市场需求分</w:t>
      </w:r>
      <w:r>
        <w:rPr>
          <w:rFonts w:ascii="宋体" w:eastAsia="宋体" w:hAnsi="宋体" w:hint="eastAsia"/>
          <w:sz w:val="24"/>
          <w:szCs w:val="24"/>
        </w:rPr>
        <w:t>析及预测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年全球低脂食品市场需求分析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年全球低脂食品市场需求预测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中国低脂食品市场分析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低脂食品市场现状分析及预测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年中国低脂食品市场规模分析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年中国低脂食品市场规模预测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低脂食品产品产能分析及预测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年中国低脂食品产能分析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年中国低脂食品产能预测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低脂食品产品产量分析及预测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年中国低脂食品产量分析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</w:t>
      </w:r>
      <w:r>
        <w:rPr>
          <w:rFonts w:ascii="宋体" w:eastAsia="宋体" w:hAnsi="宋体" w:hint="eastAsia"/>
          <w:sz w:val="24"/>
          <w:szCs w:val="24"/>
        </w:rPr>
        <w:t>国低脂食品产量预测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低脂食品市场需求分析及预测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年中国低脂食品市场需求分析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年中国低脂食品市场需求预测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低脂食品进出口数据分析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年中国低脂食品进出口数据分析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年国内低脂食品产品未来进出口情况预测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低脂食品产业渠道分析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年国内低脂食品产品的需求地域分布结构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年中国低脂食品产品重点区域市场消费情况分析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一、华东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二、中南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三、华北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四、西部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年国内低脂食品产品的经销模式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渠道格局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渠道形式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渠道要素对比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低脂食品行业国际化营销模式分析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年国内低脂食品产品生产及销售投资运作模式分析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一、国内生产企业投资运作模式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二、国内营销企业投资运作模式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三、外销与内销优势分析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低脂食品特色厂商发展分析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三、企业成长性分析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四、企业经营能力分析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五、企业盈利能力及偿债能力分析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三、企业成长性分析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四、企业经营能力分析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五、企业盈利能力及偿债能力分析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三、企业成长性分析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四、企业经营能力分析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五、企业盈利能力及偿债能力分析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三、企业成长性分析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四、企业经营能力分析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五、企业盈利能力及偿债能力分析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三、企业成长性分析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四、企业经营能力分析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五、企业盈利能力及偿债能力分析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低脂食品行业相关产业分析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低脂食品行业产业链概述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低脂食品</w:t>
      </w:r>
      <w:r>
        <w:rPr>
          <w:rFonts w:ascii="宋体" w:eastAsia="宋体" w:hAnsi="宋体" w:hint="eastAsia"/>
          <w:sz w:val="24"/>
          <w:szCs w:val="24"/>
        </w:rPr>
        <w:t>X</w:t>
      </w:r>
      <w:r>
        <w:rPr>
          <w:rFonts w:ascii="宋体" w:eastAsia="宋体" w:hAnsi="宋体" w:hint="eastAsia"/>
          <w:sz w:val="24"/>
          <w:szCs w:val="24"/>
        </w:rPr>
        <w:t>上游行业发展状况分析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（一）上游原材料生产情况分析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（一）上游原材料需求情况分析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低脂食品下游行业发展情况分析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未来几年内中国低脂食品行业竞争格局发展趋势分析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年低脂食品行业前景展望与趋势预测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低脂食品行业投资价值分析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年国内低脂食品行业盈利能力分析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年国内低脂食品行业偿债能力分析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年国内低脂食品产品投资收益率分析预测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年国内低脂食品行业运营效率分析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年国内低脂食品行业投资机会分析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一、国内强劲的经济增长对低脂食品行业的支撑因素分析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二、下游行业的需求对低脂食品行业的推动因素分析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三、低脂食品产品相关产业的发展对低脂食品行业的带动因素分析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年国内低脂食品行业投资热点及未来投资方向分析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</w:t>
      </w:r>
      <w:hyperlink r:id="rId6" w:tgtFrame="http://www.cir.cn/R_2012-02/_blank" w:tooltip="发展趋势" w:history="1">
        <w:r>
          <w:rPr>
            <w:rFonts w:ascii="宋体" w:eastAsia="宋体" w:hAnsi="宋体" w:hint="eastAsia"/>
            <w:sz w:val="24"/>
            <w:szCs w:val="24"/>
          </w:rPr>
          <w:t>发展趋势</w:t>
        </w:r>
      </w:hyperlink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二、价格变化趋势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三、用户需求结构趋势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年国内低脂食品行业未来市场</w:t>
      </w:r>
      <w:hyperlink r:id="rId7" w:tgtFrame="http://www.cir.cn/R_2012-02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  <w:r>
        <w:rPr>
          <w:rFonts w:ascii="宋体" w:eastAsia="宋体" w:hAnsi="宋体" w:hint="eastAsia"/>
          <w:sz w:val="24"/>
          <w:szCs w:val="24"/>
        </w:rPr>
        <w:t>预测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一、市场规模预测分析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二、市场结构预测分析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三、市场供需情况预测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年低脂食品行业投资战略研究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年中国低脂食品行业发展的关键要素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一、生产要素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二、需求条件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三、支援</w:t>
      </w:r>
      <w:r>
        <w:rPr>
          <w:rFonts w:ascii="宋体" w:eastAsia="宋体" w:hAnsi="宋体" w:hint="eastAsia"/>
          <w:sz w:val="24"/>
          <w:szCs w:val="24"/>
        </w:rPr>
        <w:t>与相关产业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四、企业战略、结构与竞争状态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五、政府的作用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年中国低脂食品投资机会分析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一、低脂食品行业投资前景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二、低脂食品行业投资热点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三、低脂食品行业投资区域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四、低脂食品行业投资吸引力分析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年中国低脂食品投资风险分析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一、技术风险分析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二、原材料风险分析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三、政策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体制风险分析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四、进入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退出风险分析</w:t>
      </w:r>
    </w:p>
    <w:p w:rsidR="00C805C9" w:rsidRDefault="00A81F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五、经营管理风险分析</w:t>
      </w:r>
    </w:p>
    <w:p w:rsidR="00C805C9" w:rsidRDefault="00C805C9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C805C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A81F37"/>
    <w:rsid w:val="00B6044C"/>
    <w:rsid w:val="00B97C08"/>
    <w:rsid w:val="00C805C9"/>
    <w:rsid w:val="00D31D50"/>
    <w:rsid w:val="01076324"/>
    <w:rsid w:val="01E5646F"/>
    <w:rsid w:val="02BD00C7"/>
    <w:rsid w:val="03095887"/>
    <w:rsid w:val="045215C6"/>
    <w:rsid w:val="045A72F5"/>
    <w:rsid w:val="04653E64"/>
    <w:rsid w:val="04786B9F"/>
    <w:rsid w:val="04DB0967"/>
    <w:rsid w:val="05372E15"/>
    <w:rsid w:val="05585987"/>
    <w:rsid w:val="06924CFC"/>
    <w:rsid w:val="06B56152"/>
    <w:rsid w:val="06C91665"/>
    <w:rsid w:val="06E24D78"/>
    <w:rsid w:val="071551CF"/>
    <w:rsid w:val="07AE0242"/>
    <w:rsid w:val="07D90C26"/>
    <w:rsid w:val="0917678F"/>
    <w:rsid w:val="09435005"/>
    <w:rsid w:val="09846D3A"/>
    <w:rsid w:val="09AA7130"/>
    <w:rsid w:val="0ABB13A4"/>
    <w:rsid w:val="0B332592"/>
    <w:rsid w:val="0B5A7C80"/>
    <w:rsid w:val="0BB5650F"/>
    <w:rsid w:val="0BD05CAA"/>
    <w:rsid w:val="0BF47B39"/>
    <w:rsid w:val="0C925123"/>
    <w:rsid w:val="0CDE3D78"/>
    <w:rsid w:val="0D110DFB"/>
    <w:rsid w:val="0D14701F"/>
    <w:rsid w:val="0DA4085A"/>
    <w:rsid w:val="0EC525FE"/>
    <w:rsid w:val="0F4F6176"/>
    <w:rsid w:val="0F784339"/>
    <w:rsid w:val="0F7A5515"/>
    <w:rsid w:val="0F874BE0"/>
    <w:rsid w:val="0F974379"/>
    <w:rsid w:val="0FC51BCD"/>
    <w:rsid w:val="10312A31"/>
    <w:rsid w:val="105B7561"/>
    <w:rsid w:val="108B1A2B"/>
    <w:rsid w:val="10ED7FF1"/>
    <w:rsid w:val="11141F03"/>
    <w:rsid w:val="114E63F4"/>
    <w:rsid w:val="11701F28"/>
    <w:rsid w:val="12F73123"/>
    <w:rsid w:val="131A7DF8"/>
    <w:rsid w:val="133D1796"/>
    <w:rsid w:val="141C3993"/>
    <w:rsid w:val="1456513B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7A1C54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0F3A1D"/>
    <w:rsid w:val="1E583510"/>
    <w:rsid w:val="1EEE397F"/>
    <w:rsid w:val="1F116FDA"/>
    <w:rsid w:val="2030271E"/>
    <w:rsid w:val="20A41A77"/>
    <w:rsid w:val="22AA70DA"/>
    <w:rsid w:val="22C0132A"/>
    <w:rsid w:val="23C23EFD"/>
    <w:rsid w:val="23E63691"/>
    <w:rsid w:val="24564D7F"/>
    <w:rsid w:val="248913D0"/>
    <w:rsid w:val="254213F0"/>
    <w:rsid w:val="25BE730E"/>
    <w:rsid w:val="25D91A58"/>
    <w:rsid w:val="2748694C"/>
    <w:rsid w:val="277B1371"/>
    <w:rsid w:val="28BC0104"/>
    <w:rsid w:val="28E53883"/>
    <w:rsid w:val="290F2E00"/>
    <w:rsid w:val="29A212C3"/>
    <w:rsid w:val="2AA61BB0"/>
    <w:rsid w:val="2AE97C16"/>
    <w:rsid w:val="2B927FFE"/>
    <w:rsid w:val="2BA23D81"/>
    <w:rsid w:val="2C2801EA"/>
    <w:rsid w:val="2C9369D1"/>
    <w:rsid w:val="2D0B6EC3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11365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5E55AEA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0423ED"/>
    <w:rsid w:val="3E3349D0"/>
    <w:rsid w:val="3E9620C1"/>
    <w:rsid w:val="3F4E23C4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A521FA"/>
    <w:rsid w:val="45B9329A"/>
    <w:rsid w:val="45F67F52"/>
    <w:rsid w:val="460F0C50"/>
    <w:rsid w:val="4656019F"/>
    <w:rsid w:val="46C87B86"/>
    <w:rsid w:val="476C0138"/>
    <w:rsid w:val="489100FA"/>
    <w:rsid w:val="489F49B4"/>
    <w:rsid w:val="49920FE8"/>
    <w:rsid w:val="4A675D19"/>
    <w:rsid w:val="4BA6510C"/>
    <w:rsid w:val="4BCE41C5"/>
    <w:rsid w:val="4BD35219"/>
    <w:rsid w:val="4C1E24D9"/>
    <w:rsid w:val="4C6A5809"/>
    <w:rsid w:val="4C73108C"/>
    <w:rsid w:val="4CDE4BBC"/>
    <w:rsid w:val="4D0140C0"/>
    <w:rsid w:val="4E1F1EBC"/>
    <w:rsid w:val="4E371AA4"/>
    <w:rsid w:val="4E636674"/>
    <w:rsid w:val="4EE70A50"/>
    <w:rsid w:val="4FF977F6"/>
    <w:rsid w:val="4FFC29C8"/>
    <w:rsid w:val="501838BD"/>
    <w:rsid w:val="5091227E"/>
    <w:rsid w:val="50AB7977"/>
    <w:rsid w:val="50B11C69"/>
    <w:rsid w:val="50E917CC"/>
    <w:rsid w:val="50F87F7A"/>
    <w:rsid w:val="51C05323"/>
    <w:rsid w:val="51DB11E3"/>
    <w:rsid w:val="5249559F"/>
    <w:rsid w:val="53A25381"/>
    <w:rsid w:val="53A47C59"/>
    <w:rsid w:val="53CB3A57"/>
    <w:rsid w:val="54275632"/>
    <w:rsid w:val="54C530A0"/>
    <w:rsid w:val="554F41DD"/>
    <w:rsid w:val="55545D3C"/>
    <w:rsid w:val="55983E0D"/>
    <w:rsid w:val="55E32891"/>
    <w:rsid w:val="56030D65"/>
    <w:rsid w:val="5771608F"/>
    <w:rsid w:val="57D77904"/>
    <w:rsid w:val="58497EC0"/>
    <w:rsid w:val="589B1A74"/>
    <w:rsid w:val="59324AF9"/>
    <w:rsid w:val="5A382A7F"/>
    <w:rsid w:val="5AD63146"/>
    <w:rsid w:val="5B0C2DD2"/>
    <w:rsid w:val="5BB47CAE"/>
    <w:rsid w:val="5C1C6751"/>
    <w:rsid w:val="5CE82784"/>
    <w:rsid w:val="5E6F6C34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386941"/>
    <w:rsid w:val="66A766C9"/>
    <w:rsid w:val="67512A40"/>
    <w:rsid w:val="684D3A38"/>
    <w:rsid w:val="68563C77"/>
    <w:rsid w:val="6872140D"/>
    <w:rsid w:val="68B569EA"/>
    <w:rsid w:val="693F40C1"/>
    <w:rsid w:val="69955C98"/>
    <w:rsid w:val="6A371662"/>
    <w:rsid w:val="6A48069D"/>
    <w:rsid w:val="6A4A387E"/>
    <w:rsid w:val="6ACC63A0"/>
    <w:rsid w:val="6ADA5740"/>
    <w:rsid w:val="6AE37F1C"/>
    <w:rsid w:val="6B1D5616"/>
    <w:rsid w:val="6B2B0559"/>
    <w:rsid w:val="6B573205"/>
    <w:rsid w:val="6BA15CF9"/>
    <w:rsid w:val="6BD311B6"/>
    <w:rsid w:val="6BEF78A1"/>
    <w:rsid w:val="6C1F446E"/>
    <w:rsid w:val="6CF2459D"/>
    <w:rsid w:val="6D0A5EB8"/>
    <w:rsid w:val="6E317AD7"/>
    <w:rsid w:val="6E3D1A16"/>
    <w:rsid w:val="6E565585"/>
    <w:rsid w:val="6E8916F9"/>
    <w:rsid w:val="6EDD2EA4"/>
    <w:rsid w:val="6F1F037B"/>
    <w:rsid w:val="6F3C7A2C"/>
    <w:rsid w:val="70AC2234"/>
    <w:rsid w:val="713E1802"/>
    <w:rsid w:val="71C64F9B"/>
    <w:rsid w:val="724A1A8E"/>
    <w:rsid w:val="731932C2"/>
    <w:rsid w:val="733B3CE0"/>
    <w:rsid w:val="734971C1"/>
    <w:rsid w:val="73666803"/>
    <w:rsid w:val="74157D3C"/>
    <w:rsid w:val="74252CCF"/>
    <w:rsid w:val="744027BB"/>
    <w:rsid w:val="744E76C6"/>
    <w:rsid w:val="74F37005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8BE3862"/>
    <w:rsid w:val="7966497C"/>
    <w:rsid w:val="798C69D9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EC33445"/>
    <w:rsid w:val="7ED36E49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DB81A"/>
  <w15:docId w15:val="{6AAD47E9-CC4D-4062-87AE-B10A70F7D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7</Pages>
  <Words>378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2020-01-01T00:14:00Z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