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4BB" w:rsidRDefault="000D792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都市休闲农业</w:t>
      </w:r>
      <w:bookmarkStart w:id="0" w:name="_GoBack"/>
      <w:bookmarkEnd w:id="0"/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都市休闲农业行业发展监测分析与市场前景预测报告（2019-2025年）"/>
      <w:r>
        <w:rPr>
          <w:rFonts w:ascii="宋体" w:eastAsia="宋体" w:hAnsi="宋体" w:hint="eastAsia"/>
          <w:sz w:val="24"/>
          <w:szCs w:val="24"/>
        </w:rPr>
        <w:t>中国都市休闲农业行业发展监测分析与市场前景预测报告（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0D7924" w:rsidRDefault="000D7924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【报告编号】180131SP49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都市休闲农业行业概述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都市休闲农业行业定义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都市休闲农业行业市场特点分析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一、影响需求的关键因素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二、主要竞争因素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都市休闲农业行业发展周期分析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都市休闲农业行业“十三五”规划概述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“十三五”都市休闲农业行业发展回顾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一、“十三五”都市休闲农业行业运行情况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二、“十三五”都市休闲农业行业发展特点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三、“十三五”都市休闲农业行业发展成就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都市休闲农业行业“十三五”总体规划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一、都市休闲农业行业“十三五”规划纲要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二、都市休闲农业行业“十三五”规划指导思想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三、都</w:t>
      </w:r>
      <w:r>
        <w:rPr>
          <w:rFonts w:ascii="宋体" w:eastAsia="宋体" w:hAnsi="宋体" w:hint="eastAsia"/>
          <w:sz w:val="24"/>
          <w:szCs w:val="24"/>
        </w:rPr>
        <w:t>市休闲农业行业“十三五”规划主要目标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“十三五”规划解读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一、“十三五”规划的总体战略布局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二、“十三五”规划对经济发展的影响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三、“十三五”规划的主要精神解读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“十三五”期间经济环境分析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“十三五”期间世界经济发展趋势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一、“十三五”期间世界经济将逐步恢复增长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二、“十三五”期间经济全球化曲折发展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三、“十三五”期间</w:t>
      </w:r>
      <w:hyperlink r:id="rId5" w:tgtFrame="http://www.cir.cn/8/31/_blank" w:tooltip="新能源行业现状与发展趋势" w:history="1">
        <w:r>
          <w:rPr>
            <w:rFonts w:ascii="宋体" w:eastAsia="宋体" w:hAnsi="宋体" w:hint="eastAsia"/>
            <w:sz w:val="24"/>
            <w:szCs w:val="24"/>
          </w:rPr>
          <w:t>新能源</w:t>
        </w:r>
      </w:hyperlink>
      <w:r>
        <w:rPr>
          <w:rFonts w:ascii="宋体" w:eastAsia="宋体" w:hAnsi="宋体" w:hint="eastAsia"/>
          <w:sz w:val="24"/>
          <w:szCs w:val="24"/>
        </w:rPr>
        <w:t>与节能</w:t>
      </w:r>
      <w:hyperlink r:id="rId6" w:tgtFrame="http://www.cir.cn/8/31/_blank" w:tooltip="环保产业现状与发展前景" w:history="1">
        <w:r>
          <w:rPr>
            <w:rFonts w:ascii="宋体" w:eastAsia="宋体" w:hAnsi="宋体" w:hint="eastAsia"/>
            <w:sz w:val="24"/>
            <w:szCs w:val="24"/>
          </w:rPr>
          <w:t>环保</w:t>
        </w:r>
      </w:hyperlink>
      <w:r>
        <w:rPr>
          <w:rFonts w:ascii="宋体" w:eastAsia="宋体" w:hAnsi="宋体" w:hint="eastAsia"/>
          <w:sz w:val="24"/>
          <w:szCs w:val="24"/>
        </w:rPr>
        <w:t>将引领全球产业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四、“十三五”期间跨国投资再趋活跃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五、“十三五”期间气候变化与能源资源将制约世界经济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六、“十三五”期间美元地位继续削弱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七、“十三五”期间世界主要新兴经济体大幅提升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“十三五”期间我国经济面临的形势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一、“十三五”期间我国</w:t>
      </w:r>
      <w:r>
        <w:rPr>
          <w:rFonts w:ascii="宋体" w:eastAsia="宋体" w:hAnsi="宋体" w:hint="eastAsia"/>
          <w:sz w:val="24"/>
          <w:szCs w:val="24"/>
        </w:rPr>
        <w:t>经济将长期趋好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二、“十三五”期间我国经济将围绕三个转变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三、“十三五”期间我国工业产业将全面升级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四、“十三五”期间我国以绿色发展战略为基调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“十三五”期间我国对外经济贸易预测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一、“十三五”期间我国劳动力结构预测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二、“十三五”期间我国贸易形式和利用外资方式预测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三、“十三五”期间我国自主创新结构预测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四、“十三五”期间我国产业体系预测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五、“十三五”期间我国产业竞争力预测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六、“十三五”期间我国经济国家化预测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七、“十三五”期间我国经济将面临的贸易障碍预测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八、“十三五”期间人民币区域化和国际</w:t>
      </w:r>
      <w:r>
        <w:rPr>
          <w:rFonts w:ascii="宋体" w:eastAsia="宋体" w:hAnsi="宋体" w:hint="eastAsia"/>
          <w:sz w:val="24"/>
          <w:szCs w:val="24"/>
        </w:rPr>
        <w:t>化预测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九、“十三五”期间我国对外贸易与城市发展关系预测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十、“十三五”期间我国中小企业面临的外需环境预测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年中国都市休闲农业所属行业数据监测分析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都市休闲农业所属行业规模分析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二、资产规模分析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三、利润规模分析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都市休闲农业所属行业运营效益分析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一、盈利能力分析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二、偿债能力分析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三、运营能力分析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四、成长能力分析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年中国都市休闲农业行业区域市场情况分析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都市休闲农业行业需求地域分布结构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都市休闲农业行业重点区域市场消费情况分析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一、华东地区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二、中南地区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三、华北地区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四、西部地区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都市休闲农业行业渠道格局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都市休闲农业行业渠道形式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都市休闲农业行业渠道要素对比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年中国都市休闲农业行业竞争情况分析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都市休闲农业行业经济指标分析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一、赢利性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二、附加值的提升空间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三、进入壁垒／退出机制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四、行业周期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都市休闲农业行业竞争结构分析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一、现有企业间竞争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二、潜在进入者分析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三、替代品威胁分析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四、供应商议价能力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五、客户议价能力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年中国都市休闲农业行业市场竞争策略展望分析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一、都市休闲农业行业市场竞争趋势分析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二、都市休闲农业行业市场竞争格局展望分析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三、都市休闲农业行业市场竞争策略分析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年中国都市休闲农业主要企业发展概述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浙江传化江南大地发展有限公司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北京金福艺农</w:t>
      </w:r>
      <w:hyperlink r:id="rId7" w:tgtFrame="http://www.cir.cn/8/31/_blank" w:tooltip="农业科技未来发展趋势" w:history="1">
        <w:r>
          <w:rPr>
            <w:rFonts w:ascii="宋体" w:eastAsia="宋体" w:hAnsi="宋体" w:hint="eastAsia"/>
            <w:sz w:val="24"/>
            <w:szCs w:val="24"/>
          </w:rPr>
          <w:t>农业科技</w:t>
        </w:r>
      </w:hyperlink>
      <w:r>
        <w:rPr>
          <w:rFonts w:ascii="宋体" w:eastAsia="宋体" w:hAnsi="宋体" w:hint="eastAsia"/>
          <w:sz w:val="24"/>
          <w:szCs w:val="24"/>
        </w:rPr>
        <w:t>集团有限公司经营分析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吉林市神农庄园有限责任公司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北京张裕爱斐堡国际酒庄有限公司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长沙市千龙湖生态</w:t>
      </w:r>
      <w:hyperlink r:id="rId8" w:tgtFrame="http://www.cir.cn/8/31/_blank" w:tooltip="旅游行业现状与发展趋势" w:history="1">
        <w:r>
          <w:rPr>
            <w:rFonts w:ascii="宋体" w:eastAsia="宋体" w:hAnsi="宋体" w:hint="eastAsia"/>
            <w:sz w:val="24"/>
            <w:szCs w:val="24"/>
          </w:rPr>
          <w:t>旅游</w:t>
        </w:r>
      </w:hyperlink>
      <w:r>
        <w:rPr>
          <w:rFonts w:ascii="宋体" w:eastAsia="宋体" w:hAnsi="宋体" w:hint="eastAsia"/>
          <w:sz w:val="24"/>
          <w:szCs w:val="24"/>
        </w:rPr>
        <w:t>度假有限公司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年中国都市休闲农业行业发展预测分析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都市休闲农业行业未来发展预测分析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一、都市休闲农业行业发展规模分析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年中国都市休闲农业行业发展趋势分析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都市休闲农业行业供需预测分析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一、都市休闲农业行业供给预测分析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二、都市休闲农业行业需求预测分析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都市休闲农业行业市场盈利预测分析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年中国都市休闲农业行业投资战略研究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都市休闲农业行业发展关键要素分析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一、需求条件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支援与相关产业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三、企业战略、结构与竞争状态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都市休闲农业行业投资策略分析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一、都市休闲农业行业投资规划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二、都市休闲农业行业投资策略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三、都市休闲农业行业成功之道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年中国都市休闲农业行业投资机会与风险分析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都市休闲农业行业投资机会分析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一、投资前景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二、投资热点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三、投资区域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四、投资吸引力分析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都市休闲农业行业投资风险分析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一、市场竞争风险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二、政策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体制风险分析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三、进入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退出风险分析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研究结论及投资建议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都市休闲农业行业研究结论及建议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都市休闲农业子行业研究结论及建议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都市休闲农业行业“十三五”投资建议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一、行业发展策略建议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二、行业投资方向建议</w:t>
      </w:r>
    </w:p>
    <w:p w:rsidR="004E64BB" w:rsidRDefault="000D792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三、行业投资方式建议</w:t>
      </w:r>
    </w:p>
    <w:p w:rsidR="004E64BB" w:rsidRDefault="004E64BB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4E64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D7924"/>
    <w:rsid w:val="001127DA"/>
    <w:rsid w:val="001247B5"/>
    <w:rsid w:val="002C35BC"/>
    <w:rsid w:val="00323B43"/>
    <w:rsid w:val="00326561"/>
    <w:rsid w:val="003D37D8"/>
    <w:rsid w:val="00426133"/>
    <w:rsid w:val="004358AB"/>
    <w:rsid w:val="004E64BB"/>
    <w:rsid w:val="005B1329"/>
    <w:rsid w:val="006152BD"/>
    <w:rsid w:val="006E1C52"/>
    <w:rsid w:val="0078663D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6924CFC"/>
    <w:rsid w:val="09435005"/>
    <w:rsid w:val="0F4F6176"/>
    <w:rsid w:val="105B7561"/>
    <w:rsid w:val="12F73123"/>
    <w:rsid w:val="131A7DF8"/>
    <w:rsid w:val="16B54F00"/>
    <w:rsid w:val="16BF1736"/>
    <w:rsid w:val="16D829C1"/>
    <w:rsid w:val="1C213A1E"/>
    <w:rsid w:val="1CB6427B"/>
    <w:rsid w:val="1EEE397F"/>
    <w:rsid w:val="2030271E"/>
    <w:rsid w:val="24564D7F"/>
    <w:rsid w:val="254213F0"/>
    <w:rsid w:val="25BE730E"/>
    <w:rsid w:val="2748694C"/>
    <w:rsid w:val="28E53883"/>
    <w:rsid w:val="29A212C3"/>
    <w:rsid w:val="2C2801EA"/>
    <w:rsid w:val="2D835B89"/>
    <w:rsid w:val="2F33742E"/>
    <w:rsid w:val="2F630F14"/>
    <w:rsid w:val="30365223"/>
    <w:rsid w:val="318215E1"/>
    <w:rsid w:val="319660FB"/>
    <w:rsid w:val="338301F5"/>
    <w:rsid w:val="340473B7"/>
    <w:rsid w:val="35090A1F"/>
    <w:rsid w:val="358B3D18"/>
    <w:rsid w:val="3BCB1CDF"/>
    <w:rsid w:val="3E3349D0"/>
    <w:rsid w:val="41017CD4"/>
    <w:rsid w:val="42423748"/>
    <w:rsid w:val="42ED13E1"/>
    <w:rsid w:val="45A35E31"/>
    <w:rsid w:val="476C0138"/>
    <w:rsid w:val="489100FA"/>
    <w:rsid w:val="4A675D19"/>
    <w:rsid w:val="4C6A5809"/>
    <w:rsid w:val="4D0140C0"/>
    <w:rsid w:val="4E636674"/>
    <w:rsid w:val="4EE70A50"/>
    <w:rsid w:val="501838BD"/>
    <w:rsid w:val="50AB7977"/>
    <w:rsid w:val="55545D3C"/>
    <w:rsid w:val="5A382A7F"/>
    <w:rsid w:val="684D3A38"/>
    <w:rsid w:val="6E3D1A16"/>
    <w:rsid w:val="6F1F037B"/>
    <w:rsid w:val="733B3CE0"/>
    <w:rsid w:val="73666803"/>
    <w:rsid w:val="744E76C6"/>
    <w:rsid w:val="77332318"/>
    <w:rsid w:val="7A773F47"/>
    <w:rsid w:val="7AE2432F"/>
    <w:rsid w:val="7DE90B30"/>
    <w:rsid w:val="7E0C4C95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D4DAE"/>
  <w15:docId w15:val="{05C47ED8-EABB-4227-A402-7148CAAB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.cn/3/96/LvYouHangYeXianZhuangYuFaZhanQu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r.cn/6/39/NongYeKeJiWeiLaiFaZhanQuShi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3/93/HuanBaoChanYeXianZhuangYuFaZhanQ.html" TargetMode="External"/><Relationship Id="rId5" Type="http://schemas.openxmlformats.org/officeDocument/2006/relationships/hyperlink" Target="http://www.cir.cn/5/97/XinNengYuanHangYeXianZhuangYuFaZ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8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