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B164A" w14:textId="7912FA8F" w:rsidR="0094799C" w:rsidRDefault="0094799C" w:rsidP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现场可编程门阵列</w:t>
      </w:r>
      <w:bookmarkStart w:id="0" w:name="_GoBack"/>
      <w:bookmarkEnd w:id="0"/>
    </w:p>
    <w:p w14:paraId="00B377AB" w14:textId="5F806A4E" w:rsidR="0094799C" w:rsidRDefault="0094799C" w:rsidP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中国现场可编程门阵列行业现状调研及发展前景分析报告（2019-2025年）</w:t>
      </w:r>
    </w:p>
    <w:p w14:paraId="566C2E0A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【报告编号】</w:t>
      </w:r>
      <w:r>
        <w:rPr>
          <w:rFonts w:ascii="微软雅黑" w:eastAsia="微软雅黑" w:hAnsi="微软雅黑" w:cs="微软雅黑" w:hint="eastAsia"/>
        </w:rPr>
        <w:t>180131A5</w:t>
      </w:r>
      <w:r>
        <w:rPr>
          <w:rFonts w:ascii="微软雅黑" w:eastAsia="微软雅黑" w:hAnsi="微软雅黑" w:cs="微软雅黑" w:hint="eastAsia"/>
        </w:rPr>
        <w:t>52</w:t>
      </w:r>
    </w:p>
    <w:p w14:paraId="0F2F1013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【交付时间】</w:t>
      </w:r>
      <w:r>
        <w:rPr>
          <w:rFonts w:ascii="微软雅黑" w:eastAsia="微软雅黑" w:hAnsi="微软雅黑" w:cs="微软雅黑" w:hint="eastAsia"/>
        </w:rPr>
        <w:t>2-5</w:t>
      </w:r>
      <w:r>
        <w:rPr>
          <w:rFonts w:ascii="微软雅黑" w:eastAsia="微软雅黑" w:hAnsi="微软雅黑" w:cs="微软雅黑" w:hint="eastAsia"/>
        </w:rPr>
        <w:t>个工作日，特殊要求再议</w:t>
      </w:r>
    </w:p>
    <w:p w14:paraId="1B886599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【发布机构】普华有策</w:t>
      </w:r>
    </w:p>
    <w:p w14:paraId="5AAE5700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【报告格式】纸质版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电子版</w:t>
      </w:r>
    </w:p>
    <w:p w14:paraId="6D4C9295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（可开具增值税专用发票）</w:t>
      </w:r>
    </w:p>
    <w:p w14:paraId="2DA05A70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【交付方式】</w:t>
      </w:r>
      <w:r>
        <w:rPr>
          <w:rFonts w:ascii="微软雅黑" w:eastAsia="微软雅黑" w:hAnsi="微软雅黑" w:cs="微软雅黑" w:hint="eastAsia"/>
        </w:rPr>
        <w:t>Email</w:t>
      </w:r>
      <w:r>
        <w:rPr>
          <w:rFonts w:ascii="微软雅黑" w:eastAsia="微软雅黑" w:hAnsi="微软雅黑" w:cs="微软雅黑" w:hint="eastAsia"/>
        </w:rPr>
        <w:t>发送或快递</w:t>
      </w:r>
    </w:p>
    <w:p w14:paraId="7BBA3B59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【售后服务】一年数据更新服务</w:t>
      </w:r>
    </w:p>
    <w:p w14:paraId="3283BC2B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【详情咨询】张老师</w:t>
      </w:r>
      <w:r>
        <w:rPr>
          <w:rFonts w:ascii="微软雅黑" w:eastAsia="微软雅黑" w:hAnsi="微软雅黑" w:cs="微软雅黑" w:hint="eastAsia"/>
        </w:rPr>
        <w:t>18610339331</w:t>
      </w:r>
    </w:p>
    <w:p w14:paraId="02D69AC3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010-89218002</w:t>
      </w:r>
    </w:p>
    <w:p w14:paraId="7DFBD5D8" w14:textId="77777777" w:rsidR="00A37799" w:rsidRDefault="0094799C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值班电话</w:t>
      </w:r>
      <w:r>
        <w:rPr>
          <w:rFonts w:ascii="微软雅黑" w:eastAsia="微软雅黑" w:hAnsi="微软雅黑" w:cs="微软雅黑" w:hint="eastAsia"/>
        </w:rPr>
        <w:t>13911702652</w:t>
      </w:r>
    </w:p>
    <w:p w14:paraId="4147C9B7" w14:textId="77777777" w:rsidR="00A37799" w:rsidRDefault="0094799C">
      <w:pPr>
        <w:rPr>
          <w:rFonts w:ascii="微软雅黑" w:eastAsia="微软雅黑" w:hAnsi="微软雅黑" w:cs="微软雅黑"/>
        </w:rPr>
      </w:pPr>
      <w:hyperlink r:id="rId6" w:history="1">
        <w:r>
          <w:rPr>
            <w:rStyle w:val="a8"/>
            <w:rFonts w:ascii="微软雅黑" w:eastAsia="微软雅黑" w:hAnsi="微软雅黑" w:cs="微软雅黑" w:hint="eastAsia"/>
          </w:rPr>
          <w:t>【邮件订购】</w:t>
        </w:r>
        <w:r>
          <w:rPr>
            <w:rStyle w:val="a8"/>
            <w:rFonts w:ascii="微软雅黑" w:eastAsia="微软雅黑" w:hAnsi="微软雅黑" w:cs="微软雅黑" w:hint="eastAsia"/>
          </w:rPr>
          <w:t>puhua_policy@126.com</w:t>
        </w:r>
      </w:hyperlink>
    </w:p>
    <w:p w14:paraId="7A1240D4" w14:textId="77777777" w:rsidR="00A37799" w:rsidRDefault="0094799C">
      <w:pPr>
        <w:rPr>
          <w:rFonts w:ascii="微软雅黑" w:eastAsia="微软雅黑" w:hAnsi="微软雅黑" w:cs="微软雅黑"/>
        </w:rPr>
      </w:pPr>
      <w:hyperlink r:id="rId7" w:history="1">
        <w:r>
          <w:rPr>
            <w:rStyle w:val="a8"/>
            <w:rFonts w:ascii="微软雅黑" w:eastAsia="微软雅黑" w:hAnsi="微软雅黑" w:cs="微软雅黑" w:hint="eastAsia"/>
            <w:u w:val="none"/>
          </w:rPr>
          <w:t>13911702652@139.com</w:t>
        </w:r>
      </w:hyperlink>
      <w:bookmarkStart w:id="1" w:name="2019-2025年全球与中国微型LED显示器行业现状研究分析及发展趋势预测报告"/>
    </w:p>
    <w:tbl>
      <w:tblPr>
        <w:tblW w:w="8306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37799" w14:paraId="2240A78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94DEC9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bookmarkStart w:id="2" w:name="中国现场可编程门阵列行业现状调研及发展前景分析报告（2019-2025年）"/>
            <w:bookmarkEnd w:id="1"/>
            <w:r>
              <w:rPr>
                <w:rFonts w:ascii="微软雅黑" w:eastAsia="微软雅黑" w:hAnsi="微软雅黑" w:cs="微软雅黑" w:hint="eastAsia"/>
              </w:rPr>
              <w:t>中国现场可编程门阵列行业现状调研及发展前景分析报告（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年）</w:t>
            </w:r>
            <w:bookmarkEnd w:id="2"/>
          </w:p>
          <w:p w14:paraId="2D7951B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第一章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现场可编程门阵列产业发展综述</w:t>
            </w:r>
          </w:p>
        </w:tc>
      </w:tr>
      <w:tr w:rsidR="00A37799" w14:paraId="4203F16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568D6C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现场可编程门阵列产业定义及分类</w:t>
            </w:r>
          </w:p>
        </w:tc>
      </w:tr>
      <w:tr w:rsidR="00A37799" w14:paraId="51E89DB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519C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一、行业定义</w:t>
            </w:r>
          </w:p>
        </w:tc>
      </w:tr>
      <w:tr w:rsidR="00A37799" w14:paraId="1BB7530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F7279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二、行业主要产品分类</w:t>
            </w:r>
          </w:p>
        </w:tc>
      </w:tr>
      <w:tr w:rsidR="00A37799" w14:paraId="6491CCB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2F8243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三、行业主要商业模式</w:t>
            </w:r>
          </w:p>
        </w:tc>
      </w:tr>
      <w:tr w:rsidR="00A37799" w14:paraId="5F96178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8682D1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现场可编程门阵列产业特征分析</w:t>
            </w:r>
          </w:p>
        </w:tc>
      </w:tr>
      <w:tr w:rsidR="00A37799" w14:paraId="433FFBE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C10956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一、产业链分析</w:t>
            </w:r>
          </w:p>
        </w:tc>
      </w:tr>
      <w:tr w:rsidR="00A37799" w14:paraId="3FF16BB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AF162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二、现场可编程门阵列产业在国民经济中的地位</w:t>
            </w:r>
          </w:p>
        </w:tc>
      </w:tr>
      <w:tr w:rsidR="00A37799" w14:paraId="6874660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BBF643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三、现场可编程门阵列产业生命周期分析</w:t>
            </w:r>
          </w:p>
        </w:tc>
      </w:tr>
      <w:tr w:rsidR="00A37799" w14:paraId="2D57652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7BD2E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、行业生命周期理论基础</w:t>
            </w:r>
          </w:p>
        </w:tc>
      </w:tr>
      <w:tr w:rsidR="00A37799" w14:paraId="53A10BB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CD1471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、现场可编程门阵列产业生命周期</w:t>
            </w:r>
          </w:p>
        </w:tc>
      </w:tr>
      <w:tr w:rsidR="00A37799" w14:paraId="4DA863D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44BDE9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现场可编程门阵列产业所属行业经济指标分析</w:t>
            </w:r>
          </w:p>
        </w:tc>
      </w:tr>
      <w:tr w:rsidR="00A37799" w14:paraId="704CA50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00BD08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一、赢利性</w:t>
            </w:r>
          </w:p>
        </w:tc>
      </w:tr>
      <w:tr w:rsidR="00A37799" w14:paraId="0EFA149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65299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二、成长速度</w:t>
            </w:r>
          </w:p>
        </w:tc>
      </w:tr>
      <w:tr w:rsidR="00A37799" w14:paraId="6F0F9DB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F4092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三、附加值的提升空间</w:t>
            </w:r>
          </w:p>
        </w:tc>
      </w:tr>
      <w:tr w:rsidR="00A37799" w14:paraId="2F5AE9E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21738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四、进入壁垒／退出机制</w:t>
            </w:r>
          </w:p>
        </w:tc>
      </w:tr>
      <w:tr w:rsidR="00A37799" w14:paraId="49A0C94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DCCECA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五、风险性</w:t>
            </w:r>
          </w:p>
        </w:tc>
      </w:tr>
      <w:tr w:rsidR="00A37799" w14:paraId="5DC0BE1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5631C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六、行业周期</w:t>
            </w:r>
          </w:p>
        </w:tc>
      </w:tr>
      <w:tr w:rsidR="00A37799" w14:paraId="62CC4DF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48680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七、竞争激烈程度指标</w:t>
            </w:r>
          </w:p>
        </w:tc>
      </w:tr>
      <w:tr w:rsidR="00A37799" w14:paraId="5279DCE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D863C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八、行业及其主要子行业成熟度分析</w:t>
            </w:r>
          </w:p>
        </w:tc>
      </w:tr>
      <w:tr w:rsidR="00A37799" w14:paraId="0F470AAB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281D8369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12F778D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710C7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第二章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年中国现场可编程门阵列产业所属行业运行环境分析</w:t>
            </w:r>
          </w:p>
        </w:tc>
      </w:tr>
      <w:tr w:rsidR="00A37799" w14:paraId="1E481D6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E27FA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现场可编程门阵列产业政治法律环境分析</w:t>
            </w:r>
          </w:p>
        </w:tc>
      </w:tr>
      <w:tr w:rsidR="00A37799" w14:paraId="7A1F661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F9DF72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一、行业管理体制分析</w:t>
            </w:r>
          </w:p>
        </w:tc>
      </w:tr>
      <w:tr w:rsidR="00A37799" w14:paraId="292B8FA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9D434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二、行业主要法律法规</w:t>
            </w:r>
          </w:p>
        </w:tc>
      </w:tr>
      <w:tr w:rsidR="00A37799" w14:paraId="44D7892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32D9B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三、行业相关发展规划</w:t>
            </w:r>
          </w:p>
        </w:tc>
      </w:tr>
      <w:tr w:rsidR="00A37799" w14:paraId="2D4CEDF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BB5ECD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现场可编程门阵列产业经济环境分析</w:t>
            </w:r>
          </w:p>
        </w:tc>
      </w:tr>
      <w:tr w:rsidR="00A37799" w14:paraId="1840ED9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B521D7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一、国际宏观经济形势分析</w:t>
            </w:r>
          </w:p>
        </w:tc>
      </w:tr>
      <w:tr w:rsidR="00A37799" w14:paraId="0978959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DE79CD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二、国内宏观经济形势分析</w:t>
            </w:r>
          </w:p>
        </w:tc>
      </w:tr>
      <w:tr w:rsidR="00A37799" w14:paraId="2D2A66D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0E644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三、产业宏观经济环境分析</w:t>
            </w:r>
          </w:p>
        </w:tc>
      </w:tr>
      <w:tr w:rsidR="00A37799" w14:paraId="62F40B1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B7242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现场可编程门阵列产业社会环境分析</w:t>
            </w:r>
          </w:p>
        </w:tc>
      </w:tr>
      <w:tr w:rsidR="00A37799" w14:paraId="1B94420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5B7B4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产业产业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社会环境</w:t>
            </w:r>
          </w:p>
        </w:tc>
      </w:tr>
      <w:tr w:rsidR="00A37799" w14:paraId="5F951A6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B6097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二、社会环境对行业的影响</w:t>
            </w:r>
          </w:p>
        </w:tc>
      </w:tr>
      <w:tr w:rsidR="00A37799" w14:paraId="2E28DCA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22BFE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产业产业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发展对社会发展的影响</w:t>
            </w:r>
          </w:p>
        </w:tc>
      </w:tr>
      <w:tr w:rsidR="00A37799" w14:paraId="0307E07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A4F2E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现场可编程门阵列产业技术环境分析</w:t>
            </w:r>
          </w:p>
        </w:tc>
      </w:tr>
      <w:tr w:rsidR="00A37799" w14:paraId="4EADBD0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03AE69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一、现场可编程门阵列产业技术分析</w:t>
            </w:r>
          </w:p>
        </w:tc>
      </w:tr>
      <w:tr w:rsidR="00A37799" w14:paraId="2D69E1C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A3A660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二、现场可编程门阵列产业技术发展</w:t>
            </w:r>
            <w:hyperlink r:id="rId8" w:tgtFrame="http://www.cir.cn/8/17/_blank" w:tooltip="2019-2025年中国水产品行业发展预测及未来前景研究报告" w:history="1">
              <w:r>
                <w:rPr>
                  <w:rFonts w:ascii="微软雅黑" w:eastAsia="微软雅黑" w:hAnsi="微软雅黑" w:cs="微软雅黑" w:hint="eastAsia"/>
                </w:rPr>
                <w:t>水</w:t>
              </w:r>
            </w:hyperlink>
            <w:r>
              <w:rPr>
                <w:rFonts w:ascii="微软雅黑" w:eastAsia="微软雅黑" w:hAnsi="微软雅黑" w:cs="微软雅黑" w:hint="eastAsia"/>
              </w:rPr>
              <w:t>平</w:t>
            </w:r>
          </w:p>
        </w:tc>
      </w:tr>
      <w:tr w:rsidR="00A37799" w14:paraId="60280D4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068BA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三、行业主要技术发展趋势</w:t>
            </w:r>
          </w:p>
        </w:tc>
      </w:tr>
      <w:tr w:rsidR="00A37799" w14:paraId="644CC1E3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7B937DC4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59BCB20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B6FAB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第三章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年中国现场可编程门阵列产业所属行业运行分析</w:t>
            </w:r>
          </w:p>
        </w:tc>
      </w:tr>
      <w:tr w:rsidR="00A37799" w14:paraId="2802523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707242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现场可编程门阵列产业所属行业发展状况分析</w:t>
            </w:r>
          </w:p>
        </w:tc>
      </w:tr>
      <w:tr w:rsidR="00A37799" w14:paraId="0ABA6D6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C19F43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一、现场可编程门阵列产业发展阶段</w:t>
            </w:r>
          </w:p>
        </w:tc>
      </w:tr>
      <w:tr w:rsidR="00A37799" w14:paraId="58CEFB3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D02A0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二、现场可编程门阵列产业发展总体概况</w:t>
            </w:r>
          </w:p>
        </w:tc>
      </w:tr>
      <w:tr w:rsidR="00A37799" w14:paraId="7BC84FC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88F26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三、现场可编程门阵列产业发展特点分析</w:t>
            </w:r>
          </w:p>
        </w:tc>
      </w:tr>
      <w:tr w:rsidR="00A37799" w14:paraId="7AE61E1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AA6B6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现场可编程门阵列产业所属行业发展现状</w:t>
            </w:r>
          </w:p>
        </w:tc>
      </w:tr>
      <w:tr w:rsidR="00A37799" w14:paraId="404CA73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1E090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一、现场可编程门阵列产业市场规模</w:t>
            </w:r>
          </w:p>
        </w:tc>
      </w:tr>
      <w:tr w:rsidR="00A37799" w14:paraId="365F4FB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7B7846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二、现场可编程门阵列产业发展分析</w:t>
            </w:r>
          </w:p>
        </w:tc>
      </w:tr>
      <w:tr w:rsidR="00A37799" w14:paraId="4CBD20C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80FED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三、现场可编程门阵列产业企业发展分析</w:t>
            </w:r>
          </w:p>
        </w:tc>
      </w:tr>
      <w:tr w:rsidR="00A37799" w14:paraId="2D89DFD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A00FC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区域市场分析</w:t>
            </w:r>
          </w:p>
        </w:tc>
      </w:tr>
      <w:tr w:rsidR="00A37799" w14:paraId="763592F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D5C3A4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一、区域市场分布总体情况</w:t>
            </w:r>
          </w:p>
        </w:tc>
      </w:tr>
      <w:tr w:rsidR="00A37799" w14:paraId="24F784B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053ABE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二、重点省市市场分析</w:t>
            </w:r>
          </w:p>
        </w:tc>
      </w:tr>
      <w:tr w:rsidR="00A37799" w14:paraId="470DE85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ABC76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现场可编程门阵列产业细分产品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服务市场分析</w:t>
            </w:r>
          </w:p>
        </w:tc>
      </w:tr>
      <w:tr w:rsidR="00A37799" w14:paraId="5DCCC80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B96A88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一、细分产品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7F43B27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422347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二、细分产品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服务市场规模及增速</w:t>
            </w:r>
          </w:p>
        </w:tc>
      </w:tr>
      <w:tr w:rsidR="00A37799" w14:paraId="3724A04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322550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三、重点细分产品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服务市场前景预测</w:t>
            </w:r>
          </w:p>
        </w:tc>
      </w:tr>
      <w:tr w:rsidR="00A37799" w14:paraId="197287E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3254FC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服务价格分析</w:t>
            </w:r>
          </w:p>
        </w:tc>
      </w:tr>
      <w:tr w:rsidR="00A37799" w14:paraId="3ADC5D1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D426A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一、现场可编程门阵列产业价格走势</w:t>
            </w:r>
          </w:p>
        </w:tc>
      </w:tr>
      <w:tr w:rsidR="00A37799" w14:paraId="2604503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EC159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二、影响现场可编程门阵列产业价格的关键因素分析</w:t>
            </w:r>
          </w:p>
        </w:tc>
      </w:tr>
      <w:tr w:rsidR="00A37799" w14:paraId="260C469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E852C9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、成本</w:t>
            </w:r>
          </w:p>
        </w:tc>
      </w:tr>
      <w:tr w:rsidR="00A37799" w14:paraId="65779AD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FFCEF5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、供需情况</w:t>
            </w:r>
          </w:p>
        </w:tc>
      </w:tr>
      <w:tr w:rsidR="00A37799" w14:paraId="7426B91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87B7AE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3</w:t>
            </w:r>
            <w:r>
              <w:rPr>
                <w:rFonts w:ascii="微软雅黑" w:eastAsia="微软雅黑" w:hAnsi="微软雅黑" w:cs="微软雅黑" w:hint="eastAsia"/>
              </w:rPr>
              <w:t>、关联产品</w:t>
            </w:r>
          </w:p>
        </w:tc>
      </w:tr>
      <w:tr w:rsidR="00A37799" w14:paraId="5BEB5C7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C98C5D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4</w:t>
            </w:r>
            <w:r>
              <w:rPr>
                <w:rFonts w:ascii="微软雅黑" w:eastAsia="微软雅黑" w:hAnsi="微软雅黑" w:cs="微软雅黑" w:hint="eastAsia"/>
              </w:rPr>
              <w:t>、其他</w:t>
            </w:r>
          </w:p>
        </w:tc>
      </w:tr>
      <w:tr w:rsidR="00A37799" w14:paraId="18F1502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F472F5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年现场可编程门阵列产业产品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服务价格变化趋势</w:t>
            </w:r>
          </w:p>
        </w:tc>
      </w:tr>
      <w:tr w:rsidR="00A37799" w14:paraId="355899C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C9D307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四、主要现场可编程门阵列产业企业价位及价格策略</w:t>
            </w:r>
          </w:p>
        </w:tc>
      </w:tr>
      <w:tr w:rsidR="00A37799" w14:paraId="39DA6085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23100D49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151E44F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9B58E3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第四章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年中国现场可编程门阵列产业所属行业整体运行指标分析</w:t>
            </w:r>
          </w:p>
        </w:tc>
      </w:tr>
      <w:tr w:rsidR="00A37799" w14:paraId="75EC5E3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47FE1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现场可编程门阵列产业所属行业总体规模分析</w:t>
            </w:r>
          </w:p>
        </w:tc>
      </w:tr>
      <w:tr w:rsidR="00A37799" w14:paraId="5AFF947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E799A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一、企业数量结构分析</w:t>
            </w:r>
          </w:p>
        </w:tc>
      </w:tr>
      <w:tr w:rsidR="00A37799" w14:paraId="2BD2033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9F01E9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二、人员规模状况分析</w:t>
            </w:r>
          </w:p>
        </w:tc>
      </w:tr>
      <w:tr w:rsidR="00A37799" w14:paraId="16EFAB1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D0FFB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三、行业资产规模分析</w:t>
            </w:r>
          </w:p>
        </w:tc>
      </w:tr>
      <w:tr w:rsidR="00A37799" w14:paraId="5B22F18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83320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四、行业市场规模分析</w:t>
            </w:r>
          </w:p>
        </w:tc>
      </w:tr>
      <w:tr w:rsidR="00A37799" w14:paraId="714058D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698068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现场可编程门阵列产业所属行业产销情况分析</w:t>
            </w:r>
          </w:p>
        </w:tc>
      </w:tr>
      <w:tr w:rsidR="00A37799" w14:paraId="65F180A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9E09F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一、现场可编程门阵列产业工业总产值</w:t>
            </w:r>
          </w:p>
        </w:tc>
      </w:tr>
      <w:tr w:rsidR="00A37799" w14:paraId="1514022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CE26A4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二、现场可编程门阵列产业工业销售产值</w:t>
            </w:r>
          </w:p>
        </w:tc>
      </w:tr>
      <w:tr w:rsidR="00A37799" w14:paraId="2F7DCD3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A4773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三、现场可编程门阵列产业产销率</w:t>
            </w:r>
          </w:p>
        </w:tc>
      </w:tr>
      <w:tr w:rsidR="00A37799" w14:paraId="3B6B1AB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836DA8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现场可编程门阵列产业所属行业财务指标总体分析</w:t>
            </w:r>
          </w:p>
        </w:tc>
      </w:tr>
      <w:tr w:rsidR="00A37799" w14:paraId="02CC673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6EC502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一、行业盈利能力分析</w:t>
            </w:r>
          </w:p>
        </w:tc>
      </w:tr>
      <w:tr w:rsidR="00A37799" w14:paraId="14076B5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A0DB3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二、行业偿债能力分析</w:t>
            </w:r>
          </w:p>
        </w:tc>
      </w:tr>
      <w:tr w:rsidR="00A37799" w14:paraId="6FD0E12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BAE7BD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三、行业营运能力分析</w:t>
            </w:r>
          </w:p>
        </w:tc>
      </w:tr>
      <w:tr w:rsidR="00A37799" w14:paraId="7BF02D8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59B7E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四、行业发展能力分析</w:t>
            </w:r>
          </w:p>
        </w:tc>
      </w:tr>
      <w:tr w:rsidR="00A37799" w14:paraId="2E09B11F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48102289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61DD1DA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4DCB37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第五章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年中国现场可编程门阵列产业所属行业供需形势分析</w:t>
            </w:r>
          </w:p>
        </w:tc>
      </w:tr>
      <w:tr w:rsidR="00A37799" w14:paraId="624C756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AC7E94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现场可编程门阵列产业供给分析</w:t>
            </w:r>
          </w:p>
        </w:tc>
      </w:tr>
      <w:tr w:rsidR="00A37799" w14:paraId="0BEAE4B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409D9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一、现场可编程门阵列产业供给分析</w:t>
            </w:r>
          </w:p>
        </w:tc>
      </w:tr>
      <w:tr w:rsidR="00A37799" w14:paraId="6630060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D558DD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年现场可编程门阵列产业供给变化趋势</w:t>
            </w:r>
          </w:p>
        </w:tc>
      </w:tr>
      <w:tr w:rsidR="00A37799" w14:paraId="3CA7E7D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6494A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三、现场可编程门阵列产业区域供给分析</w:t>
            </w:r>
          </w:p>
        </w:tc>
      </w:tr>
      <w:tr w:rsidR="00A37799" w14:paraId="422C8CA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0770CA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现场可编程门阵列产业需求情况</w:t>
            </w:r>
          </w:p>
        </w:tc>
      </w:tr>
      <w:tr w:rsidR="00A37799" w14:paraId="60763B8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1CA86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一、现场可编程门阵列产业需求市场</w:t>
            </w:r>
          </w:p>
        </w:tc>
      </w:tr>
      <w:tr w:rsidR="00A37799" w14:paraId="174483C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2D7AE3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二、现场可编程门阵列产业客户结构</w:t>
            </w:r>
          </w:p>
        </w:tc>
      </w:tr>
      <w:tr w:rsidR="00A37799" w14:paraId="03B3E66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810BF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三、现场可编程门阵列产业需求的地区差异</w:t>
            </w:r>
          </w:p>
        </w:tc>
      </w:tr>
      <w:tr w:rsidR="00A37799" w14:paraId="230EBAA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79BE78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现场可编程门阵列产业市场应用及需求预测</w:t>
            </w:r>
          </w:p>
        </w:tc>
      </w:tr>
      <w:tr w:rsidR="00A37799" w14:paraId="690F80B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71C70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一、现场可编程门阵列产业应用市场总体需求分析</w:t>
            </w:r>
          </w:p>
        </w:tc>
      </w:tr>
      <w:tr w:rsidR="00A37799" w14:paraId="0A47771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CAD48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、现场可编程门阵列产业应用市场需求特征</w:t>
            </w:r>
          </w:p>
        </w:tc>
      </w:tr>
      <w:tr w:rsidR="00A37799" w14:paraId="1995E66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B15EF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、现场可编程门阵列产业应用市场需求总规模</w:t>
            </w:r>
          </w:p>
        </w:tc>
      </w:tr>
      <w:tr w:rsidR="00A37799" w14:paraId="5E00F74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B3E26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年现场可编程门阵列产业领域需求量预测</w:t>
            </w:r>
          </w:p>
        </w:tc>
      </w:tr>
      <w:tr w:rsidR="00A37799" w14:paraId="4917294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61B870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年现场可编程门阵列产业领域需求产品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服务功能预测</w:t>
            </w:r>
          </w:p>
        </w:tc>
      </w:tr>
      <w:tr w:rsidR="00A37799" w14:paraId="58499AD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89647B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年现场可编程门阵列产业领域需求产品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服务市场格局预测</w:t>
            </w:r>
          </w:p>
        </w:tc>
      </w:tr>
      <w:tr w:rsidR="00A37799" w14:paraId="5417BB1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AC6B4E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三、重点行业现场可编程门阵列产业产品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服务需求分析预测</w:t>
            </w:r>
          </w:p>
        </w:tc>
      </w:tr>
      <w:tr w:rsidR="00A37799" w14:paraId="15B25E44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2D7251A1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3194A50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D702D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第六章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年中国现场可编程门阵列产业产业结构分析</w:t>
            </w:r>
          </w:p>
        </w:tc>
      </w:tr>
      <w:tr w:rsidR="00A37799" w14:paraId="7107AAA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8CF7B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现场可编程门阵列产业产业结构分析</w:t>
            </w:r>
          </w:p>
        </w:tc>
      </w:tr>
      <w:tr w:rsidR="00A37799" w14:paraId="30088CD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29AE1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一、市场细分充分程度分析</w:t>
            </w:r>
          </w:p>
        </w:tc>
      </w:tr>
      <w:tr w:rsidR="00A37799" w14:paraId="1CFE6C9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30FB77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二、各细分市场领先企业排名</w:t>
            </w:r>
          </w:p>
        </w:tc>
      </w:tr>
      <w:tr w:rsidR="00A37799" w14:paraId="00202DE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79953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三、各细分市场占总市场的结构比例</w:t>
            </w:r>
          </w:p>
        </w:tc>
      </w:tr>
      <w:tr w:rsidR="00A37799" w14:paraId="07ECF51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D8E520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四、领先企业的结构分析（所有制结构）</w:t>
            </w:r>
          </w:p>
        </w:tc>
      </w:tr>
      <w:tr w:rsidR="00A37799" w14:paraId="2853143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82430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产业价值链条的结构分析及产业链条的整体竞争优势分析</w:t>
            </w:r>
          </w:p>
        </w:tc>
      </w:tr>
      <w:tr w:rsidR="00A37799" w14:paraId="6A69FD5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63AD78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一、产业价值链条的构成</w:t>
            </w:r>
          </w:p>
        </w:tc>
      </w:tr>
      <w:tr w:rsidR="00A37799" w14:paraId="6AB6D09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F2933D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二、产业链条的竞争优势与劣势分析</w:t>
            </w:r>
          </w:p>
        </w:tc>
      </w:tr>
      <w:tr w:rsidR="00A37799" w14:paraId="530E616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26E0DA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产业结构发展预测</w:t>
            </w:r>
          </w:p>
        </w:tc>
      </w:tr>
      <w:tr w:rsidR="00A37799" w14:paraId="419A54D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9BAE2C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一、产业结构调整指导政策分析</w:t>
            </w:r>
          </w:p>
        </w:tc>
      </w:tr>
      <w:tr w:rsidR="00A37799" w14:paraId="4A1DCCE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8B59B9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二、产业结构调整中消费者需求的引导因素</w:t>
            </w:r>
          </w:p>
        </w:tc>
      </w:tr>
      <w:tr w:rsidR="00A37799" w14:paraId="54AFB88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449F7A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三、中国现场可编程门阵列产业参与国际竞争的战略市场定位</w:t>
            </w:r>
          </w:p>
        </w:tc>
      </w:tr>
      <w:tr w:rsidR="00A37799" w14:paraId="6A09F7E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447300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四、产业结构调整方向分析</w:t>
            </w:r>
          </w:p>
        </w:tc>
      </w:tr>
      <w:tr w:rsidR="00A37799" w14:paraId="6604E16F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1B780281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691A06C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4493F9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第七章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产业产业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链分析</w:t>
            </w:r>
          </w:p>
        </w:tc>
      </w:tr>
      <w:tr w:rsidR="00A37799" w14:paraId="31851AD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684037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产业产业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链分析</w:t>
            </w:r>
          </w:p>
        </w:tc>
      </w:tr>
      <w:tr w:rsidR="00A37799" w14:paraId="520732D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6439B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一、产业链结构分析</w:t>
            </w:r>
          </w:p>
        </w:tc>
      </w:tr>
      <w:tr w:rsidR="00A37799" w14:paraId="32D9EB3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9364AA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二、主要环节的增值空间</w:t>
            </w:r>
          </w:p>
        </w:tc>
      </w:tr>
      <w:tr w:rsidR="00A37799" w14:paraId="59FA9EC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D225A9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三、与上下游行业之间的关联性</w:t>
            </w:r>
          </w:p>
        </w:tc>
      </w:tr>
      <w:tr w:rsidR="00A37799" w14:paraId="0DFCC5D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AB558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现场可编程门阵列产业上游行业分析</w:t>
            </w:r>
          </w:p>
        </w:tc>
      </w:tr>
      <w:tr w:rsidR="00A37799" w14:paraId="524E112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3F23D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一、现场可编程门阵列产业产品成本构成</w:t>
            </w:r>
          </w:p>
        </w:tc>
      </w:tr>
      <w:tr w:rsidR="00A37799" w14:paraId="1DE4571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F49AD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二、上游行业发展现状</w:t>
            </w:r>
          </w:p>
        </w:tc>
      </w:tr>
      <w:tr w:rsidR="00A37799" w14:paraId="49900E1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EDB6F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年上游行业发展趋势</w:t>
            </w:r>
          </w:p>
        </w:tc>
      </w:tr>
      <w:tr w:rsidR="00A37799" w14:paraId="18AE0CF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67A9B8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四、上游供给对现场可编程门阵列产业的影响</w:t>
            </w:r>
          </w:p>
        </w:tc>
      </w:tr>
      <w:tr w:rsidR="00A37799" w14:paraId="631F668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3562E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现场可编程门阵列产业下游行业分析</w:t>
            </w:r>
          </w:p>
        </w:tc>
      </w:tr>
      <w:tr w:rsidR="00A37799" w14:paraId="165D900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ADD8A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一、现场可编程门阵列产业下游行业分布</w:t>
            </w:r>
          </w:p>
        </w:tc>
      </w:tr>
      <w:tr w:rsidR="00A37799" w14:paraId="144585E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E6B451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二、下游行业发展现状</w:t>
            </w:r>
          </w:p>
        </w:tc>
      </w:tr>
      <w:tr w:rsidR="00A37799" w14:paraId="21F5434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A2FAC6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年下游行业发展趋势</w:t>
            </w:r>
          </w:p>
        </w:tc>
      </w:tr>
      <w:tr w:rsidR="00A37799" w14:paraId="09747F6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922070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四、下游需求对现场可编程门阵列产业的影响</w:t>
            </w:r>
          </w:p>
        </w:tc>
      </w:tr>
      <w:tr w:rsidR="00A37799" w14:paraId="4984465F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55481617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16C09FB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8C986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第八章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年中国现场可编程门阵列产业渠道分析及策略</w:t>
            </w:r>
          </w:p>
        </w:tc>
      </w:tr>
      <w:tr w:rsidR="00A37799" w14:paraId="1C69D77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BBC46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现场可编程门阵列产业渠道分析</w:t>
            </w:r>
          </w:p>
        </w:tc>
      </w:tr>
      <w:tr w:rsidR="00A37799" w14:paraId="3B7CFF6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37ADD0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一、渠道形式及对比</w:t>
            </w:r>
          </w:p>
        </w:tc>
      </w:tr>
      <w:tr w:rsidR="00A37799" w14:paraId="5F1CFC6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55EC0F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二、各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类渠道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对现场可编程门阵列产业的影响</w:t>
            </w:r>
          </w:p>
        </w:tc>
      </w:tr>
      <w:tr w:rsidR="00A37799" w14:paraId="39B453B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0BB1E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三、主要现场可编程门阵列产业企业渠道策略研究</w:t>
            </w:r>
          </w:p>
        </w:tc>
      </w:tr>
      <w:tr w:rsidR="00A37799" w14:paraId="2BBBD5E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5FB7B7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四、各区域主要代理商情况</w:t>
            </w:r>
          </w:p>
        </w:tc>
      </w:tr>
      <w:tr w:rsidR="00A37799" w14:paraId="15D61FA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00AB53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现场可编程门阵列产业用户分析</w:t>
            </w:r>
          </w:p>
        </w:tc>
      </w:tr>
      <w:tr w:rsidR="00A37799" w14:paraId="0E9DBBE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289E18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一、用户认知程度分析</w:t>
            </w:r>
          </w:p>
        </w:tc>
      </w:tr>
      <w:tr w:rsidR="00A37799" w14:paraId="1EB8FF5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3F62A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二、用户需求特点分析</w:t>
            </w:r>
          </w:p>
        </w:tc>
      </w:tr>
      <w:tr w:rsidR="00A37799" w14:paraId="55C8171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29199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三、用户购买途径分析</w:t>
            </w:r>
          </w:p>
        </w:tc>
      </w:tr>
      <w:tr w:rsidR="00A37799" w14:paraId="176E3A1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2AA7A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现场可编程门阵列产业营销策略分析</w:t>
            </w:r>
          </w:p>
        </w:tc>
      </w:tr>
      <w:tr w:rsidR="00A37799" w14:paraId="3BA170C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AB6387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一、中国现场可编程门阵列产业营销概况</w:t>
            </w:r>
          </w:p>
        </w:tc>
      </w:tr>
      <w:tr w:rsidR="00A37799" w14:paraId="7808C77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70F8E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二、现场可编程门阵列产业营销策略探讨</w:t>
            </w:r>
          </w:p>
        </w:tc>
      </w:tr>
      <w:tr w:rsidR="00A37799" w14:paraId="42FF008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D950D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三、现场可编程门阵列产业营销发展趋势</w:t>
            </w:r>
          </w:p>
        </w:tc>
      </w:tr>
      <w:tr w:rsidR="00A37799" w14:paraId="3B1762A6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4BC40C44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54502CB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B303AE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第九章</w:t>
            </w:r>
            <w:r>
              <w:rPr>
                <w:rFonts w:ascii="微软雅黑" w:eastAsia="微软雅黑" w:hAnsi="微软雅黑" w:cs="微软雅黑" w:hint="eastAsia"/>
              </w:rPr>
              <w:t xml:space="preserve"> 2018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年中国现场可编程门阵列产业竞争形势及策略</w:t>
            </w:r>
          </w:p>
        </w:tc>
      </w:tr>
      <w:tr w:rsidR="00A37799" w14:paraId="0EE533F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2CF89C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行业总体市场竞争状况分析</w:t>
            </w:r>
          </w:p>
        </w:tc>
      </w:tr>
      <w:tr w:rsidR="00A37799" w14:paraId="7E6CF3C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08608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一、现场可编程门阵列产业竞争结构分析</w:t>
            </w:r>
          </w:p>
        </w:tc>
      </w:tr>
      <w:tr w:rsidR="00A37799" w14:paraId="5EBBDC5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4D15BC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、现有企业间竞争</w:t>
            </w:r>
          </w:p>
        </w:tc>
      </w:tr>
      <w:tr w:rsidR="00A37799" w14:paraId="18AC368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0165D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、潜在进入者分析</w:t>
            </w:r>
          </w:p>
        </w:tc>
      </w:tr>
      <w:tr w:rsidR="00A37799" w14:paraId="2E811FC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B4C1F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3</w:t>
            </w:r>
            <w:r>
              <w:rPr>
                <w:rFonts w:ascii="微软雅黑" w:eastAsia="微软雅黑" w:hAnsi="微软雅黑" w:cs="微软雅黑" w:hint="eastAsia"/>
              </w:rPr>
              <w:t>、替代品威胁分析</w:t>
            </w:r>
          </w:p>
        </w:tc>
      </w:tr>
      <w:tr w:rsidR="00A37799" w14:paraId="49A642C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ACFE5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4</w:t>
            </w:r>
            <w:r>
              <w:rPr>
                <w:rFonts w:ascii="微软雅黑" w:eastAsia="微软雅黑" w:hAnsi="微软雅黑" w:cs="微软雅黑" w:hint="eastAsia"/>
              </w:rPr>
              <w:t>、供应商议价能力</w:t>
            </w:r>
          </w:p>
        </w:tc>
      </w:tr>
      <w:tr w:rsidR="00A37799" w14:paraId="14EA106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5C606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5</w:t>
            </w:r>
            <w:r>
              <w:rPr>
                <w:rFonts w:ascii="微软雅黑" w:eastAsia="微软雅黑" w:hAnsi="微软雅黑" w:cs="微软雅黑" w:hint="eastAsia"/>
              </w:rPr>
              <w:t>、客户议价能力</w:t>
            </w:r>
          </w:p>
        </w:tc>
      </w:tr>
      <w:tr w:rsidR="00A37799" w14:paraId="73455D7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84FF5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6</w:t>
            </w:r>
            <w:r>
              <w:rPr>
                <w:rFonts w:ascii="微软雅黑" w:eastAsia="微软雅黑" w:hAnsi="微软雅黑" w:cs="微软雅黑" w:hint="eastAsia"/>
              </w:rPr>
              <w:t>、竞争结构特点总结</w:t>
            </w:r>
          </w:p>
        </w:tc>
      </w:tr>
      <w:tr w:rsidR="00A37799" w14:paraId="405C488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2061F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二、现场可编程门阵列产业企业间竞争格局分析</w:t>
            </w:r>
          </w:p>
        </w:tc>
      </w:tr>
      <w:tr w:rsidR="00A37799" w14:paraId="455F26E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575B8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三、现场可编程门阵列产业集中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度分析</w:t>
            </w:r>
            <w:proofErr w:type="gramEnd"/>
          </w:p>
        </w:tc>
      </w:tr>
      <w:tr w:rsidR="00A37799" w14:paraId="75A41EF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E63619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四、现场可编程门阵列产业</w:t>
            </w:r>
            <w:r>
              <w:rPr>
                <w:rFonts w:ascii="微软雅黑" w:eastAsia="微软雅黑" w:hAnsi="微软雅黑" w:cs="微软雅黑" w:hint="eastAsia"/>
              </w:rPr>
              <w:t>SWOT</w:t>
            </w:r>
            <w:r>
              <w:rPr>
                <w:rFonts w:ascii="微软雅黑" w:eastAsia="微软雅黑" w:hAnsi="微软雅黑" w:cs="微软雅黑" w:hint="eastAsia"/>
              </w:rPr>
              <w:t>分析</w:t>
            </w:r>
          </w:p>
        </w:tc>
      </w:tr>
      <w:tr w:rsidR="00A37799" w14:paraId="30D50EEA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444073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现场可编程门阵列产业竞争格局综述</w:t>
            </w:r>
          </w:p>
        </w:tc>
      </w:tr>
      <w:tr w:rsidR="00A37799" w14:paraId="287FE99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A9E33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一、现场可编程门阵列产业竞争概况</w:t>
            </w:r>
          </w:p>
        </w:tc>
      </w:tr>
      <w:tr w:rsidR="00A37799" w14:paraId="4A46E79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31098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、中国现场可编程门阵列产业竞争格局</w:t>
            </w:r>
          </w:p>
        </w:tc>
      </w:tr>
      <w:tr w:rsidR="00A37799" w14:paraId="655F2E0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D3069F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、现场可编程门阵列产业未来竞争格局和特点</w:t>
            </w:r>
          </w:p>
        </w:tc>
      </w:tr>
      <w:tr w:rsidR="00A37799" w14:paraId="5ADBA87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76C7C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3</w:t>
            </w:r>
            <w:r>
              <w:rPr>
                <w:rFonts w:ascii="微软雅黑" w:eastAsia="微软雅黑" w:hAnsi="微软雅黑" w:cs="微软雅黑" w:hint="eastAsia"/>
              </w:rPr>
              <w:t>、现场可编程门阵列产业市场进入及竞争对手分析</w:t>
            </w:r>
          </w:p>
        </w:tc>
      </w:tr>
      <w:tr w:rsidR="00A37799" w14:paraId="7D9FC3C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7DB92E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二、中国现场可编程门阵列产业竞争力分析</w:t>
            </w:r>
          </w:p>
        </w:tc>
      </w:tr>
      <w:tr w:rsidR="00A37799" w14:paraId="54EE11F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262F3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1</w:t>
            </w:r>
            <w:r>
              <w:rPr>
                <w:rFonts w:ascii="微软雅黑" w:eastAsia="微软雅黑" w:hAnsi="微软雅黑" w:cs="微软雅黑" w:hint="eastAsia"/>
              </w:rPr>
              <w:t>、中国现场可编程门阵列产业竞争力剖析</w:t>
            </w:r>
          </w:p>
        </w:tc>
      </w:tr>
      <w:tr w:rsidR="00A37799" w14:paraId="63D0C1E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C3336F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2</w:t>
            </w:r>
            <w:r>
              <w:rPr>
                <w:rFonts w:ascii="微软雅黑" w:eastAsia="微软雅黑" w:hAnsi="微软雅黑" w:cs="微软雅黑" w:hint="eastAsia"/>
              </w:rPr>
              <w:t>、中国现场可编程门阵列产业企业市场竞争的优势</w:t>
            </w:r>
          </w:p>
        </w:tc>
      </w:tr>
      <w:tr w:rsidR="00A37799" w14:paraId="27F4C3D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AAC884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　　</w:t>
            </w:r>
            <w:r>
              <w:rPr>
                <w:rFonts w:ascii="微软雅黑" w:eastAsia="微软雅黑" w:hAnsi="微软雅黑" w:cs="微软雅黑" w:hint="eastAsia"/>
              </w:rPr>
              <w:t>3</w:t>
            </w:r>
            <w:r>
              <w:rPr>
                <w:rFonts w:ascii="微软雅黑" w:eastAsia="微软雅黑" w:hAnsi="微软雅黑" w:cs="微软雅黑" w:hint="eastAsia"/>
              </w:rPr>
              <w:t>、国内现场可编程门阵列产业企业竞争能力提升途径</w:t>
            </w:r>
          </w:p>
        </w:tc>
      </w:tr>
      <w:tr w:rsidR="00A37799" w14:paraId="3A76E66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409E3D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三、现场可编程门阵列产业市场竞争策略分析</w:t>
            </w:r>
          </w:p>
        </w:tc>
      </w:tr>
      <w:tr w:rsidR="00A37799" w14:paraId="4F924A48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7E70FC77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238AEF8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A38791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中国现场可编程门阵列产业主要企业发展概述</w:t>
            </w:r>
          </w:p>
        </w:tc>
      </w:tr>
      <w:tr w:rsidR="00A37799" w14:paraId="4FDE2EB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414DFE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Atmel</w:t>
            </w:r>
          </w:p>
        </w:tc>
      </w:tr>
      <w:tr w:rsidR="00A37799" w14:paraId="73B4522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9B2996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79E4AD9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7C1339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A37799" w14:paraId="0A15325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E5AC7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7A49630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A37D09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6D18A55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C6801C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2E3CBC2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58B5B5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E2V Technologies</w:t>
            </w:r>
          </w:p>
        </w:tc>
      </w:tr>
      <w:tr w:rsidR="00A37799" w14:paraId="1E63940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0AF4F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686CB8F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D3369B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二、企业优势分析</w:t>
            </w:r>
          </w:p>
        </w:tc>
      </w:tr>
      <w:tr w:rsidR="00A37799" w14:paraId="7B65456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011A9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273728D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237B1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1D58DCD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A27364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4B7ED44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51BEDC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 w:hint="eastAsia"/>
              </w:rPr>
              <w:t>Achronix</w:t>
            </w:r>
            <w:proofErr w:type="spellEnd"/>
            <w:r>
              <w:rPr>
                <w:rFonts w:ascii="微软雅黑" w:eastAsia="微软雅黑" w:hAnsi="微软雅黑" w:cs="微软雅黑" w:hint="eastAsia"/>
              </w:rPr>
              <w:t xml:space="preserve"> Semiconductor</w:t>
            </w:r>
          </w:p>
        </w:tc>
      </w:tr>
      <w:tr w:rsidR="00A37799" w14:paraId="21ED209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BA3472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7BF02A4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10946D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A37799" w14:paraId="4515DD6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91F2A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1AF4C8E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DCC81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08C6FD3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BCB7EA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0BF5D67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EC654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拓朗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</w:rPr>
              <w:instrText xml:space="preserve"> HYPERLINK "http://www.cir.cn/9/68/BanDaoTiDeFaZhanQuShi.html" \o "</w:instrText>
            </w:r>
            <w:r>
              <w:rPr>
                <w:rFonts w:ascii="微软雅黑" w:eastAsia="微软雅黑" w:hAnsi="微软雅黑" w:cs="微软雅黑" w:hint="eastAsia"/>
              </w:rPr>
              <w:instrText>半导体的发展趋势</w:instrText>
            </w:r>
            <w:r>
              <w:rPr>
                <w:rFonts w:ascii="微软雅黑" w:eastAsia="微软雅黑" w:hAnsi="微软雅黑" w:cs="微软雅黑" w:hint="eastAsia"/>
              </w:rPr>
              <w:instrText xml:space="preserve">" \t "http://www.cir.cn/8/17/_blank" </w:instrText>
            </w:r>
            <w:r>
              <w:rPr>
                <w:rFonts w:ascii="微软雅黑" w:eastAsia="微软雅黑" w:hAnsi="微软雅黑" w:cs="微软雅黑" w:hint="eastAsia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</w:rPr>
              <w:t>半导体</w:t>
            </w:r>
            <w:r>
              <w:rPr>
                <w:rFonts w:ascii="微软雅黑" w:eastAsia="微软雅黑" w:hAnsi="微软雅黑" w:cs="微软雅黑" w:hint="eastAsia"/>
              </w:rPr>
              <w:fldChar w:fldCharType="end"/>
            </w:r>
          </w:p>
        </w:tc>
      </w:tr>
      <w:tr w:rsidR="00A37799" w14:paraId="6DADEAC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13086B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4CD55DB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413F61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A37799" w14:paraId="3ACA2A2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795BF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030D17A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8C0446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3113991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850713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74FB89F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7E4862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第五节</w:t>
            </w:r>
            <w:r>
              <w:rPr>
                <w:rFonts w:ascii="微软雅黑" w:eastAsia="微软雅黑" w:hAnsi="微软雅黑" w:cs="微软雅黑" w:hint="eastAsia"/>
              </w:rPr>
              <w:t xml:space="preserve"> Lattice Semiconductor</w:t>
            </w:r>
          </w:p>
        </w:tc>
      </w:tr>
      <w:tr w:rsidR="00A37799" w14:paraId="2A9A0B5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0E8B5F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52D5509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B2DD0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A37799" w14:paraId="1D631D9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C82B4E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4834E81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E74217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2FF8436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B8789F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3D11E5F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23F9A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第六节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赛灵思</w:t>
            </w:r>
            <w:proofErr w:type="gramEnd"/>
          </w:p>
        </w:tc>
      </w:tr>
      <w:tr w:rsidR="00A37799" w14:paraId="5E0DB1B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AFD1B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一、企业概况</w:t>
            </w:r>
          </w:p>
        </w:tc>
      </w:tr>
      <w:tr w:rsidR="00A37799" w14:paraId="034CEF8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E67E87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二、企业优势分析</w:t>
            </w:r>
          </w:p>
        </w:tc>
      </w:tr>
      <w:tr w:rsidR="00A37799" w14:paraId="3085128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8EA60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三、产品</w:t>
            </w:r>
            <w:r>
              <w:rPr>
                <w:rFonts w:ascii="微软雅黑" w:eastAsia="微软雅黑" w:hAnsi="微软雅黑" w:cs="微软雅黑" w:hint="eastAsia"/>
              </w:rPr>
              <w:t>/</w:t>
            </w:r>
            <w:r>
              <w:rPr>
                <w:rFonts w:ascii="微软雅黑" w:eastAsia="微软雅黑" w:hAnsi="微软雅黑" w:cs="微软雅黑" w:hint="eastAsia"/>
              </w:rPr>
              <w:t>服务特色</w:t>
            </w:r>
          </w:p>
        </w:tc>
      </w:tr>
      <w:tr w:rsidR="00A37799" w14:paraId="4066EDE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C255CD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四、经营状况</w:t>
            </w:r>
          </w:p>
        </w:tc>
      </w:tr>
      <w:tr w:rsidR="00A37799" w14:paraId="13FBF7E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C2B73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五、发展规划</w:t>
            </w:r>
          </w:p>
        </w:tc>
      </w:tr>
      <w:tr w:rsidR="00A37799" w14:paraId="7F79DC42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44620580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09988EF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103CB3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第十一章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年中国现场可编程门阵列产业投资前景分析</w:t>
            </w:r>
          </w:p>
        </w:tc>
      </w:tr>
      <w:tr w:rsidR="00A37799" w14:paraId="2868048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CB28A1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现场可编程门阵列产业市场发展前景</w:t>
            </w:r>
          </w:p>
        </w:tc>
      </w:tr>
      <w:tr w:rsidR="00A37799" w14:paraId="4386FD4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81CC4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一、现场可编程门阵列产业市场发展潜力</w:t>
            </w:r>
          </w:p>
        </w:tc>
      </w:tr>
      <w:tr w:rsidR="00A37799" w14:paraId="6D9FE9A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CAFC18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二、现场可编程门阵列产业市场发展前景展望</w:t>
            </w:r>
          </w:p>
        </w:tc>
      </w:tr>
      <w:tr w:rsidR="00A37799" w14:paraId="0DE6D2E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AD3797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三、现场可编程门阵列产业细分行业发展前景分析</w:t>
            </w:r>
          </w:p>
        </w:tc>
      </w:tr>
      <w:tr w:rsidR="00A37799" w14:paraId="5850CA4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B34814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现场可编程门阵列产业市场发展趋势预测</w:t>
            </w:r>
          </w:p>
        </w:tc>
      </w:tr>
      <w:tr w:rsidR="00A37799" w14:paraId="1E8A810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E6CC9E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一、现场可编程门阵列产业发展趋势</w:t>
            </w:r>
          </w:p>
        </w:tc>
      </w:tr>
      <w:tr w:rsidR="00A37799" w14:paraId="7B174EF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284C8C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二、现场可编程门阵列产业市场规模预测</w:t>
            </w:r>
          </w:p>
        </w:tc>
      </w:tr>
      <w:tr w:rsidR="00A37799" w14:paraId="6AA62B3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83D16F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三、现场可编程门阵列产业应用趋势预测</w:t>
            </w:r>
          </w:p>
        </w:tc>
      </w:tr>
      <w:tr w:rsidR="00A37799" w14:paraId="6B6609E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3D3B22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四、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年细分市场发展趋势预测</w:t>
            </w:r>
          </w:p>
        </w:tc>
      </w:tr>
      <w:tr w:rsidR="00A37799" w14:paraId="4D28EC6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496182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现场可编程门阵列产业供需预测</w:t>
            </w:r>
          </w:p>
        </w:tc>
      </w:tr>
      <w:tr w:rsidR="00A37799" w14:paraId="2B1D01B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602F92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一、现场可编程门阵列产业供给预测</w:t>
            </w:r>
          </w:p>
        </w:tc>
      </w:tr>
      <w:tr w:rsidR="00A37799" w14:paraId="5508A9E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2D6C9C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二、现场可编程门阵列产业需求预测</w:t>
            </w:r>
          </w:p>
        </w:tc>
      </w:tr>
      <w:tr w:rsidR="00A37799" w14:paraId="3A2FFF9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86A89A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三、现场可编程门阵列产业供需平衡预测</w:t>
            </w:r>
          </w:p>
        </w:tc>
      </w:tr>
      <w:tr w:rsidR="00A37799" w14:paraId="7F09AA8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E6C627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第四节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影响企业生产与经营的关键趋势</w:t>
            </w:r>
          </w:p>
        </w:tc>
      </w:tr>
      <w:tr w:rsidR="00A37799" w14:paraId="0D44F58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DF9AD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一、市场整合成长趋势</w:t>
            </w:r>
          </w:p>
        </w:tc>
      </w:tr>
      <w:tr w:rsidR="00A37799" w14:paraId="6978DF61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98B8BA4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二、需求变化趋势及新的商业机遇预测</w:t>
            </w:r>
          </w:p>
        </w:tc>
      </w:tr>
      <w:tr w:rsidR="00A37799" w14:paraId="734A32E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D1E6D0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三、企业区域市场拓展的趋势</w:t>
            </w:r>
          </w:p>
        </w:tc>
      </w:tr>
      <w:tr w:rsidR="00A37799" w14:paraId="2CB9FD0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08FEE6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四、科研开发趋势及替代技术进展</w:t>
            </w:r>
          </w:p>
        </w:tc>
      </w:tr>
      <w:tr w:rsidR="00A37799" w14:paraId="04C2531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62BAE1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五、影响企业销售与服务方式的关键趋势</w:t>
            </w:r>
          </w:p>
        </w:tc>
      </w:tr>
      <w:tr w:rsidR="00A37799" w14:paraId="0E1F07A9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2DFAEB3B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53D4706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7758DF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第十二章</w:t>
            </w:r>
            <w:r>
              <w:rPr>
                <w:rFonts w:ascii="微软雅黑" w:eastAsia="微软雅黑" w:hAnsi="微软雅黑" w:cs="微软雅黑" w:hint="eastAsia"/>
              </w:rPr>
              <w:t xml:space="preserve"> 2019-2025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年中国现场可编程门阵列产业投资机会与风险分析</w:t>
            </w:r>
          </w:p>
        </w:tc>
      </w:tr>
      <w:tr w:rsidR="00A37799" w14:paraId="68BC026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E935A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现场可编程门阵列产业投融资情况</w:t>
            </w:r>
          </w:p>
        </w:tc>
      </w:tr>
      <w:tr w:rsidR="00A37799" w14:paraId="3C202D5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B55F9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一、行业资金渠道分析</w:t>
            </w:r>
          </w:p>
        </w:tc>
      </w:tr>
      <w:tr w:rsidR="00A37799" w14:paraId="35E9D5B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9776EF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二、固定资产投资分析</w:t>
            </w:r>
          </w:p>
        </w:tc>
      </w:tr>
      <w:tr w:rsidR="00A37799" w14:paraId="3B526DD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6B7FC2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三、兼并重组情况分析</w:t>
            </w:r>
          </w:p>
        </w:tc>
      </w:tr>
      <w:tr w:rsidR="00A37799" w14:paraId="6E3B011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44CB7F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现场可编程门阵列产业投资机会</w:t>
            </w:r>
          </w:p>
        </w:tc>
      </w:tr>
      <w:tr w:rsidR="00A37799" w14:paraId="2C8E25A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A567D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一、产业</w:t>
            </w:r>
            <w:proofErr w:type="gramStart"/>
            <w:r>
              <w:rPr>
                <w:rFonts w:ascii="微软雅黑" w:eastAsia="微软雅黑" w:hAnsi="微软雅黑" w:cs="微软雅黑" w:hint="eastAsia"/>
              </w:rPr>
              <w:t>链投资</w:t>
            </w:r>
            <w:proofErr w:type="gramEnd"/>
            <w:r>
              <w:rPr>
                <w:rFonts w:ascii="微软雅黑" w:eastAsia="微软雅黑" w:hAnsi="微软雅黑" w:cs="微软雅黑" w:hint="eastAsia"/>
              </w:rPr>
              <w:t>机会</w:t>
            </w:r>
          </w:p>
        </w:tc>
      </w:tr>
      <w:tr w:rsidR="00A37799" w14:paraId="4C23D2A8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4487E5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二、细分市场投资机会</w:t>
            </w:r>
          </w:p>
        </w:tc>
      </w:tr>
      <w:tr w:rsidR="00A37799" w14:paraId="0343414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55544F6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三、重点区域投资机会</w:t>
            </w:r>
          </w:p>
        </w:tc>
      </w:tr>
      <w:tr w:rsidR="00A37799" w14:paraId="776D37B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62AEA59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现场可编程门阵列产业投资风险及防范</w:t>
            </w:r>
          </w:p>
        </w:tc>
      </w:tr>
      <w:tr w:rsidR="00A37799" w14:paraId="673C81B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3FF611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一、政策风险及防范</w:t>
            </w:r>
          </w:p>
        </w:tc>
      </w:tr>
      <w:tr w:rsidR="00A37799" w14:paraId="5872D210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748A1C5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二、技术风险及防范</w:t>
            </w:r>
          </w:p>
        </w:tc>
      </w:tr>
      <w:tr w:rsidR="00A37799" w14:paraId="1C5F4D9F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7F1A54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三、供求风险及防范</w:t>
            </w:r>
          </w:p>
        </w:tc>
      </w:tr>
      <w:tr w:rsidR="00A37799" w14:paraId="7B13FEA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0F318DA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四、宏观经济波动风险及防范</w:t>
            </w:r>
          </w:p>
        </w:tc>
      </w:tr>
      <w:tr w:rsidR="00A37799" w14:paraId="2AF77917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1E503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五、关联产业风险及防范</w:t>
            </w:r>
          </w:p>
        </w:tc>
      </w:tr>
      <w:tr w:rsidR="00A37799" w14:paraId="0E5341B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2ED228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六、产品结构风险及防范</w:t>
            </w:r>
          </w:p>
        </w:tc>
      </w:tr>
      <w:tr w:rsidR="00A37799" w14:paraId="3F0B4E8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B0D79E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七、其他风险及防范</w:t>
            </w:r>
          </w:p>
        </w:tc>
      </w:tr>
      <w:tr w:rsidR="00A37799" w14:paraId="58C973C3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2FCFFA7E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75DFF1D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6ADE53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第十三章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2019-2025</w:t>
            </w:r>
            <w:r>
              <w:rPr>
                <w:rFonts w:ascii="微软雅黑" w:eastAsia="微软雅黑" w:hAnsi="微软雅黑" w:cs="微软雅黑" w:hint="eastAsia"/>
              </w:rPr>
              <w:t>年中国现场可编程门阵列产业投资战略研究</w:t>
            </w:r>
          </w:p>
        </w:tc>
      </w:tr>
      <w:tr w:rsidR="00A37799" w14:paraId="0038D8A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B4E91B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现场可编程门阵列产业发展战略研究</w:t>
            </w:r>
          </w:p>
        </w:tc>
      </w:tr>
      <w:tr w:rsidR="00A37799" w14:paraId="5871E12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FDC1081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一、战略综合规划</w:t>
            </w:r>
          </w:p>
        </w:tc>
      </w:tr>
      <w:tr w:rsidR="00A37799" w14:paraId="46755A73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3D89268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二、技术开发战略</w:t>
            </w:r>
          </w:p>
        </w:tc>
      </w:tr>
      <w:tr w:rsidR="00A37799" w14:paraId="09105B3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F1BD03C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三、业务组合战略</w:t>
            </w:r>
          </w:p>
        </w:tc>
      </w:tr>
      <w:tr w:rsidR="00A37799" w14:paraId="102D990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3877F5B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四、区域战略规划</w:t>
            </w:r>
          </w:p>
        </w:tc>
      </w:tr>
      <w:tr w:rsidR="00A37799" w14:paraId="61FFD884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053982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五、产业战略规划</w:t>
            </w:r>
          </w:p>
        </w:tc>
      </w:tr>
      <w:tr w:rsidR="00A37799" w14:paraId="4EDBFD86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2F22387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现场可编程门阵列产业新产品差异化战略</w:t>
            </w:r>
          </w:p>
        </w:tc>
      </w:tr>
      <w:tr w:rsidR="00A37799" w14:paraId="713B777E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899D98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 xml:space="preserve">　　　　一、现场可编程门阵列产业投资战略研究</w:t>
            </w:r>
          </w:p>
        </w:tc>
      </w:tr>
      <w:tr w:rsidR="00A37799" w14:paraId="4939CEA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1164205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二、现场可编程门阵列产业投资战略</w:t>
            </w:r>
          </w:p>
        </w:tc>
      </w:tr>
      <w:tr w:rsidR="00A37799" w14:paraId="123D359C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9BA7C3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三、现场可编程门阵列产业投资战略</w:t>
            </w:r>
          </w:p>
        </w:tc>
      </w:tr>
      <w:tr w:rsidR="00A37799" w14:paraId="6238233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13E686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四、细分行业投资战略</w:t>
            </w:r>
          </w:p>
        </w:tc>
      </w:tr>
      <w:tr w:rsidR="00A37799" w14:paraId="64D91974" w14:textId="77777777">
        <w:trPr>
          <w:trHeight w:val="106"/>
          <w:tblCellSpacing w:w="0" w:type="dxa"/>
        </w:trPr>
        <w:tc>
          <w:tcPr>
            <w:tcW w:w="8306" w:type="dxa"/>
            <w:shd w:val="clear" w:color="auto" w:fill="FFFFFF"/>
            <w:vAlign w:val="center"/>
          </w:tcPr>
          <w:p w14:paraId="1EACC39D" w14:textId="77777777" w:rsidR="00A37799" w:rsidRDefault="00A37799">
            <w:pPr>
              <w:rPr>
                <w:rFonts w:ascii="微软雅黑" w:eastAsia="微软雅黑" w:hAnsi="微软雅黑" w:cs="微软雅黑"/>
              </w:rPr>
            </w:pPr>
          </w:p>
        </w:tc>
      </w:tr>
      <w:tr w:rsidR="00A37799" w14:paraId="0F15DC25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7B2528D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第十四章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研究结论及投资建议</w:t>
            </w:r>
          </w:p>
        </w:tc>
      </w:tr>
      <w:tr w:rsidR="00A37799" w14:paraId="44135CA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54AB20BA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第一节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现场可编程门阵列产业研究结论</w:t>
            </w:r>
          </w:p>
        </w:tc>
      </w:tr>
      <w:tr w:rsidR="00A37799" w14:paraId="5A330E9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5D57D42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第二节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现场可编程门阵列产业投资价值评估</w:t>
            </w:r>
          </w:p>
        </w:tc>
      </w:tr>
      <w:tr w:rsidR="00A37799" w14:paraId="53BDB949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73C47B5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第三节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现场可编程门阵列产业投资建议</w:t>
            </w:r>
          </w:p>
        </w:tc>
      </w:tr>
      <w:tr w:rsidR="00A37799" w14:paraId="566B19E2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307A1457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一、行业发展策略建议</w:t>
            </w:r>
          </w:p>
        </w:tc>
      </w:tr>
      <w:tr w:rsidR="00A37799" w14:paraId="7C5AD12B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65CCC97E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二、行业投资方向建议</w:t>
            </w:r>
          </w:p>
        </w:tc>
      </w:tr>
      <w:tr w:rsidR="00A37799" w14:paraId="72361B0D" w14:textId="77777777">
        <w:trPr>
          <w:tblCellSpacing w:w="0" w:type="dxa"/>
        </w:trPr>
        <w:tc>
          <w:tcPr>
            <w:tcW w:w="8306" w:type="dxa"/>
            <w:shd w:val="clear" w:color="auto" w:fill="FFFFFF"/>
            <w:tcMar>
              <w:top w:w="30" w:type="dxa"/>
              <w:bottom w:w="60" w:type="dxa"/>
            </w:tcMar>
            <w:vAlign w:val="center"/>
          </w:tcPr>
          <w:p w14:paraId="43175C20" w14:textId="77777777" w:rsidR="00A37799" w:rsidRDefault="0094799C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 xml:space="preserve">　　　　三、行业投资方式建议</w:t>
            </w:r>
          </w:p>
        </w:tc>
      </w:tr>
    </w:tbl>
    <w:p w14:paraId="20B8C35A" w14:textId="77777777" w:rsidR="00A37799" w:rsidRDefault="00A37799">
      <w:pPr>
        <w:rPr>
          <w:rFonts w:ascii="微软雅黑" w:eastAsia="微软雅黑" w:hAnsi="微软雅黑" w:cs="微软雅黑"/>
        </w:rPr>
      </w:pPr>
    </w:p>
    <w:sectPr w:rsidR="00A37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4799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37799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52639E2"/>
    <w:rsid w:val="08775A63"/>
    <w:rsid w:val="0B166035"/>
    <w:rsid w:val="11664269"/>
    <w:rsid w:val="11841067"/>
    <w:rsid w:val="15D708AD"/>
    <w:rsid w:val="1FE37AF5"/>
    <w:rsid w:val="24E54C7A"/>
    <w:rsid w:val="25F95162"/>
    <w:rsid w:val="2E5F43F7"/>
    <w:rsid w:val="2E633864"/>
    <w:rsid w:val="338A0F81"/>
    <w:rsid w:val="344A566A"/>
    <w:rsid w:val="34804A80"/>
    <w:rsid w:val="34995899"/>
    <w:rsid w:val="364D7646"/>
    <w:rsid w:val="375A053F"/>
    <w:rsid w:val="3D6A44FF"/>
    <w:rsid w:val="428711C2"/>
    <w:rsid w:val="48E57C9D"/>
    <w:rsid w:val="55D44AA7"/>
    <w:rsid w:val="5C622D51"/>
    <w:rsid w:val="5C7D603C"/>
    <w:rsid w:val="62550478"/>
    <w:rsid w:val="6274421B"/>
    <w:rsid w:val="62FD0B78"/>
    <w:rsid w:val="660C6303"/>
    <w:rsid w:val="68092C27"/>
    <w:rsid w:val="6DE91A89"/>
    <w:rsid w:val="6F640EE4"/>
    <w:rsid w:val="74483C6D"/>
    <w:rsid w:val="762F67F9"/>
    <w:rsid w:val="77B95B8B"/>
    <w:rsid w:val="796570BD"/>
    <w:rsid w:val="7CF60601"/>
    <w:rsid w:val="7D1348AD"/>
    <w:rsid w:val="7DD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3649E"/>
  <w15:docId w15:val="{CCFF9650-C834-4529-9BB0-F33C3604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DiaoYan/2012-09/shuichanpinhangyefazhanyucejiweilaiq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13911702652@139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&#12304;&#37038;&#20214;&#35746;&#36141;&#12305;puhua_policy@126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14958-0285-49E2-BF68-498A010B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5</cp:revision>
  <dcterms:created xsi:type="dcterms:W3CDTF">2019-02-02T06:12:00Z</dcterms:created>
  <dcterms:modified xsi:type="dcterms:W3CDTF">2019-12-23T10:29:00Z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