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9C1553" w14:textId="77777777" w:rsidR="006B057C" w:rsidRPr="006B057C" w:rsidRDefault="006B057C" w:rsidP="006B057C">
      <w:pPr>
        <w:rPr>
          <w:b/>
          <w:bCs/>
        </w:rPr>
      </w:pPr>
      <w:r w:rsidRPr="006B057C">
        <w:rPr>
          <w:rFonts w:hint="eastAsia"/>
          <w:b/>
          <w:bCs/>
        </w:rPr>
        <w:t>乳酸菌之常温乳酸菌饮品行业前景（附报告目录）</w:t>
      </w:r>
    </w:p>
    <w:p w14:paraId="6FEAC945" w14:textId="77777777" w:rsidR="006B057C" w:rsidRPr="006B057C" w:rsidRDefault="006B057C" w:rsidP="006B057C">
      <w:pPr>
        <w:rPr>
          <w:b/>
          <w:bCs/>
        </w:rPr>
      </w:pPr>
      <w:r w:rsidRPr="006B057C">
        <w:rPr>
          <w:b/>
          <w:bCs/>
        </w:rPr>
        <w:t>1、乳酸菌饮品概况</w:t>
      </w:r>
    </w:p>
    <w:p w14:paraId="1D385E25" w14:textId="77777777" w:rsidR="006B057C" w:rsidRDefault="006B057C" w:rsidP="006B057C">
      <w:r>
        <w:rPr>
          <w:rFonts w:hint="eastAsia"/>
        </w:rPr>
        <w:t>乳酸菌饮品是含乳饮料中一个重要细分领域，以乳或乳制品为原料，经乳酸菌发酵制得的乳液中，加入水、白砂糖、酸味剂，以及果汁、茶、咖啡、植物提取液等当中的一种或几种调制而成。根据其是否经过杀菌处理而区分为杀菌（非活性）型／常温乳酸菌和未杀菌（活菌）型／低温乳酸菌。</w:t>
      </w:r>
    </w:p>
    <w:p w14:paraId="16807182" w14:textId="5728496B" w:rsidR="006B057C" w:rsidRDefault="006B057C" w:rsidP="006B057C">
      <w:pPr>
        <w:rPr>
          <w:b/>
          <w:bCs/>
        </w:rPr>
      </w:pPr>
      <w:r w:rsidRPr="006B057C">
        <w:rPr>
          <w:rFonts w:hint="eastAsia"/>
          <w:b/>
          <w:bCs/>
        </w:rPr>
        <w:t>相关报告：北京普华有策信息咨询有限公司《</w:t>
      </w:r>
      <w:r w:rsidRPr="006B057C">
        <w:rPr>
          <w:b/>
          <w:bCs/>
        </w:rPr>
        <w:t>2020-2026年常温乳酸菌饮品行业市场研究与前景预测报告》</w:t>
      </w:r>
    </w:p>
    <w:p w14:paraId="3F956EFA" w14:textId="472C782B" w:rsidR="00E37B9D" w:rsidRDefault="00E37B9D" w:rsidP="006B057C">
      <w:pPr>
        <w:rPr>
          <w:rFonts w:hint="eastAsia"/>
          <w:b/>
          <w:bCs/>
        </w:rPr>
      </w:pPr>
      <w:r>
        <w:rPr>
          <w:rFonts w:hint="eastAsia"/>
          <w:b/>
          <w:bCs/>
        </w:rPr>
        <w:t>乳酸菌饮品产业链</w:t>
      </w:r>
    </w:p>
    <w:p w14:paraId="2DF29892" w14:textId="49E8D94D" w:rsidR="00D23799" w:rsidRDefault="007D3413" w:rsidP="006B057C">
      <w:pPr>
        <w:rPr>
          <w:b/>
          <w:bCs/>
        </w:rPr>
      </w:pPr>
      <w:r>
        <w:rPr>
          <w:b/>
          <w:bCs/>
          <w:noProof/>
        </w:rPr>
        <w:drawing>
          <wp:inline distT="0" distB="0" distL="0" distR="0" wp14:anchorId="04E53D16" wp14:editId="1BCF24A6">
            <wp:extent cx="5274310" cy="3076575"/>
            <wp:effectExtent l="0" t="0" r="0" b="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14:paraId="311CD5D0" w14:textId="0E686CF2" w:rsidR="00D23799" w:rsidRPr="00E37B9D" w:rsidRDefault="00E37B9D" w:rsidP="006B057C">
      <w:pPr>
        <w:rPr>
          <w:rFonts w:hint="eastAsia"/>
        </w:rPr>
      </w:pPr>
      <w:r w:rsidRPr="00E37B9D">
        <w:rPr>
          <w:rFonts w:hint="eastAsia"/>
        </w:rPr>
        <w:t>资料来源：普华有策</w:t>
      </w:r>
    </w:p>
    <w:p w14:paraId="588F4751" w14:textId="77777777" w:rsidR="006B057C" w:rsidRDefault="006B057C" w:rsidP="006B057C">
      <w:r>
        <w:rPr>
          <w:rFonts w:hint="eastAsia"/>
        </w:rPr>
        <w:t>乳酸菌是指能够代谢糖类、产生</w:t>
      </w:r>
      <w:r>
        <w:t xml:space="preserve"> 50%以上乳酸的细菌，包括了乳杆菌属、链球菌属、乳球菌属、明串珠菌属等细菌。乳酸菌原本存在于人体口腔、肠胃道中，对人体健康有着十分重要的作用。这些作用体现在：a、通过代谢产生乳酸降低肠道 pH 值，抑制有害细菌繁殖，维持肠内菌群平衡；b、链球菌等乳酸菌可分泌抑制病原菌的细菌素；c、活化吞噬细胞和自然杀伤细胞等免疫细胞；d、有助于合成 B 族维生素和荷尔蒙等；e、减少胆固醇吸收，调节血脂；f、分泌特殊酶，帮助食物消化吸收。因为上述益处，添加了乳酸菌的含乳饮品被视为营养、健康的高端</w:t>
      </w:r>
      <w:r>
        <w:rPr>
          <w:rFonts w:hint="eastAsia"/>
        </w:rPr>
        <w:t>饮品。</w:t>
      </w:r>
    </w:p>
    <w:p w14:paraId="0BAFC605" w14:textId="77777777" w:rsidR="006B057C" w:rsidRPr="006B057C" w:rsidRDefault="006B057C" w:rsidP="006B057C">
      <w:pPr>
        <w:rPr>
          <w:b/>
          <w:bCs/>
        </w:rPr>
      </w:pPr>
      <w:r w:rsidRPr="006B057C">
        <w:rPr>
          <w:b/>
          <w:bCs/>
        </w:rPr>
        <w:t>2、乳酸菌发展概况</w:t>
      </w:r>
    </w:p>
    <w:p w14:paraId="714C6E41" w14:textId="77777777" w:rsidR="006B057C" w:rsidRDefault="006B057C" w:rsidP="006B057C">
      <w:r>
        <w:rPr>
          <w:rFonts w:hint="eastAsia"/>
        </w:rPr>
        <w:t>我国乳酸菌饮品起步于</w:t>
      </w:r>
      <w:r>
        <w:t xml:space="preserve"> 20 世纪 80 年代，是含乳饮料中发展最快的品种之一。常温乳酸菌是另外一种常见乳酸菌饮品，与低温乳酸菌饮品区别主要在于乳酸菌在生产过程中热力杀菌处理阶段已被灭活。因此，常温乳酸菌可以在常温下贮存和销售。常温乳酸菌也可以和果汁、蔬菜汁、谷物等天然元素结合，不断推出健康、营养、口感丰富的产品，适应不同消费场景。受益于低温乳酸菌产品建立的消费需求基础，常温乳酸菌也被视为具有“促消化”、“润肠道”等功能，是营养、健康的饮品。同时，因无需冷链运输、易于贮藏，常温乳酸菌的销售半径大大扩展，目标市</w:t>
      </w:r>
      <w:r>
        <w:rPr>
          <w:rFonts w:hint="eastAsia"/>
        </w:rPr>
        <w:t>场更为广阔。</w:t>
      </w:r>
    </w:p>
    <w:p w14:paraId="1C2E958C" w14:textId="77777777" w:rsidR="006B057C" w:rsidRDefault="006B057C" w:rsidP="006B057C">
      <w:r>
        <w:rPr>
          <w:rFonts w:hint="eastAsia"/>
        </w:rPr>
        <w:t>与低温乳酸菌饮品市场主要集中在一二线市场不同，常温乳酸菌饮品市场更为分散，主要集中三四线城市及乡镇。目前，从消费趋势看，常温乳酸菌饮品已进入发展的黄金时期，近年维持较高的增长态势，是乳品企业抢夺市场的关键。</w:t>
      </w:r>
    </w:p>
    <w:p w14:paraId="422BDEEC" w14:textId="77777777" w:rsidR="006B057C" w:rsidRDefault="006B057C" w:rsidP="006B057C">
      <w:r>
        <w:rPr>
          <w:rFonts w:hint="eastAsia"/>
        </w:rPr>
        <w:lastRenderedPageBreak/>
        <w:t>常温乳酸菌系列饮品，属于含乳饮料的细分产品，具有“安全、营养、健康”等特点，是新兴的功能性饮料。由于常温乳酸菌饮品无需冷链运输、易于贮藏，产品销售区域广阔；同时，常温乳酸菌产品便于携带，适应各种饮用场景，消费人群较广。</w:t>
      </w:r>
    </w:p>
    <w:p w14:paraId="2813CD04" w14:textId="77777777" w:rsidR="006B057C" w:rsidRDefault="006B057C" w:rsidP="006B057C">
      <w:r>
        <w:rPr>
          <w:rFonts w:hint="eastAsia"/>
        </w:rPr>
        <w:t>相对于低温乳酸菌饮品市场，我国常温乳酸菌饮品市场于近五年崛起。低温乳酸菌饮品受到冷链运输和贮藏的制约对渠道要求相对较为苛刻，而常温乳酸菌饮品渠道要求较低，铺货速度和市场渗透率高于低温乳酸菌饮品，因而有利于促进行业品牌的丰富性和产品的多样性。</w:t>
      </w:r>
    </w:p>
    <w:p w14:paraId="1AACDEA8" w14:textId="77777777" w:rsidR="006B057C" w:rsidRDefault="006B057C" w:rsidP="006B057C">
      <w:r>
        <w:t>2014 年之前，常温乳酸菌饮品行业主要由三四线小品牌为主，2014-2015 年间，以优乐多、小样、小洋人为代表的一二线品牌逐渐进入常温乳酸菌饮品市场。2015 年后，低温乳酸菌饮品市场上表现较为成功的品牌，如伊利、光明，也选择进入常温乳酸菌饮品市场，常温乳酸菌饮品市场竞争加剧。2015 年常温乳酸菌饮品品牌已达 79 个，2016 年达到 100 个左右；进入 2017 年后，随着高利润的吸引，部分经销商通过代工方式经营自有品牌以及小工厂加入，品牌数量进一步增长。目前，常温乳酸菌饮品市场格局并未完全形成</w:t>
      </w:r>
      <w:r>
        <w:rPr>
          <w:rFonts w:hint="eastAsia"/>
        </w:rPr>
        <w:t>，为充分竞争行业，具有完全的市场化程度，更多品牌主要集中在区域市场竞争。常温乳酸菌饮品市场仍处于高速发展培育阶段，在行业井喷之后，随着行业进一步规范，产品品牌和优质单品价值将凸显。同其他饮料类别一样，常温乳酸菌饮品行业竞争也将向集中化的方向演化，已经建立品牌壁垒的龙头企业具有进一步扩大市场占有率的趋势。</w:t>
      </w:r>
    </w:p>
    <w:p w14:paraId="74E6A274" w14:textId="77777777" w:rsidR="006B057C" w:rsidRPr="006B057C" w:rsidRDefault="006B057C" w:rsidP="006B057C">
      <w:pPr>
        <w:rPr>
          <w:b/>
          <w:bCs/>
        </w:rPr>
      </w:pPr>
      <w:r w:rsidRPr="006B057C">
        <w:rPr>
          <w:b/>
          <w:bCs/>
        </w:rPr>
        <w:t>3、常温乳酸菌饮品发展有力推动因素</w:t>
      </w:r>
    </w:p>
    <w:p w14:paraId="4EF32AA9" w14:textId="77777777" w:rsidR="006B057C" w:rsidRDefault="006B057C" w:rsidP="006B057C">
      <w:r>
        <w:rPr>
          <w:rFonts w:hint="eastAsia"/>
        </w:rPr>
        <w:t>（</w:t>
      </w:r>
      <w:r>
        <w:t>1）食品饮料消费伴随中国经济增长而快速发展</w:t>
      </w:r>
    </w:p>
    <w:p w14:paraId="61B86C3C" w14:textId="77777777" w:rsidR="006B057C" w:rsidRDefault="006B057C" w:rsidP="006B057C">
      <w:r>
        <w:rPr>
          <w:rFonts w:hint="eastAsia"/>
        </w:rPr>
        <w:t>食品饮料行业受国民消费能力的影响较大。未来，中国</w:t>
      </w:r>
      <w:r>
        <w:t xml:space="preserve"> GDP 仍将保持稳定增长，人均可支配收入的提升为食品饮料行业的发展提供了不断扩大的市场需求。</w:t>
      </w:r>
    </w:p>
    <w:p w14:paraId="7B1D27A3" w14:textId="77777777" w:rsidR="006B057C" w:rsidRDefault="006B057C" w:rsidP="006B057C">
      <w:r>
        <w:rPr>
          <w:rFonts w:hint="eastAsia"/>
        </w:rPr>
        <w:t>（</w:t>
      </w:r>
      <w:r>
        <w:t>2）常温乳酸菌饮品符合营养健康的消费升级趋势</w:t>
      </w:r>
    </w:p>
    <w:p w14:paraId="2886A35C" w14:textId="77777777" w:rsidR="006B057C" w:rsidRDefault="006B057C" w:rsidP="006B057C">
      <w:r>
        <w:rPr>
          <w:rFonts w:hint="eastAsia"/>
        </w:rPr>
        <w:t>伴随着社会发展和国民财富水平的快速提升，食品饮料行业的消费升级是明确的发展趋势，“健康、安全、营养”品种有望获得更大的发展空间。常温乳酸菌饮品定位为中高端饮品，具备营养健康的概念属性，符合人们消费升级的要求。</w:t>
      </w:r>
    </w:p>
    <w:p w14:paraId="5035BFBC" w14:textId="77777777" w:rsidR="006B057C" w:rsidRDefault="006B057C" w:rsidP="006B057C">
      <w:r>
        <w:rPr>
          <w:rFonts w:hint="eastAsia"/>
        </w:rPr>
        <w:t>（</w:t>
      </w:r>
      <w:r>
        <w:t>3）常温乳酸菌饮品消费场景及受众广阔</w:t>
      </w:r>
    </w:p>
    <w:p w14:paraId="39097BCB" w14:textId="77777777" w:rsidR="006B057C" w:rsidRDefault="006B057C" w:rsidP="006B057C">
      <w:r>
        <w:rPr>
          <w:rFonts w:hint="eastAsia"/>
        </w:rPr>
        <w:t>含乳饮料中的常温乳酸菌饮品无需冷链运输、易于贮藏，产品销售区域得到了很大扩展，易于切入三、四线城市及乡镇市场。同时，常温乳酸菌饮品便于携带，可适应各种饮用场景，消费人群更为庞大。</w:t>
      </w:r>
    </w:p>
    <w:p w14:paraId="3BDEF52F" w14:textId="77777777" w:rsidR="006B057C" w:rsidRPr="006B057C" w:rsidRDefault="006B057C" w:rsidP="006B057C">
      <w:pPr>
        <w:rPr>
          <w:b/>
          <w:bCs/>
        </w:rPr>
      </w:pPr>
      <w:r w:rsidRPr="006B057C">
        <w:rPr>
          <w:rFonts w:hint="eastAsia"/>
          <w:b/>
          <w:bCs/>
        </w:rPr>
        <w:t>目录</w:t>
      </w:r>
    </w:p>
    <w:p w14:paraId="7370EF20" w14:textId="77777777" w:rsidR="006B057C" w:rsidRPr="006B057C" w:rsidRDefault="006B057C" w:rsidP="006B057C">
      <w:pPr>
        <w:rPr>
          <w:b/>
          <w:bCs/>
        </w:rPr>
      </w:pPr>
      <w:r w:rsidRPr="006B057C">
        <w:rPr>
          <w:rFonts w:hint="eastAsia"/>
          <w:b/>
          <w:bCs/>
        </w:rPr>
        <w:t>第一章</w:t>
      </w:r>
      <w:r w:rsidRPr="006B057C">
        <w:rPr>
          <w:b/>
          <w:bCs/>
        </w:rPr>
        <w:t xml:space="preserve"> 常温乳酸菌饮品市场综述</w:t>
      </w:r>
    </w:p>
    <w:p w14:paraId="4E92A3C6" w14:textId="77777777" w:rsidR="006B057C" w:rsidRDefault="006B057C" w:rsidP="006B057C">
      <w:r>
        <w:rPr>
          <w:rFonts w:hint="eastAsia"/>
        </w:rPr>
        <w:t>第一节</w:t>
      </w:r>
      <w:r>
        <w:t xml:space="preserve"> 常温乳酸菌饮品市场概述</w:t>
      </w:r>
    </w:p>
    <w:p w14:paraId="6AA1B439" w14:textId="77777777" w:rsidR="006B057C" w:rsidRDefault="006B057C" w:rsidP="006B057C">
      <w:r>
        <w:rPr>
          <w:rFonts w:hint="eastAsia"/>
        </w:rPr>
        <w:t>第二节</w:t>
      </w:r>
      <w:r>
        <w:t xml:space="preserve"> 常温乳酸菌饮品产业的生命周期分析</w:t>
      </w:r>
    </w:p>
    <w:p w14:paraId="588BF1FB" w14:textId="77777777" w:rsidR="006B057C" w:rsidRDefault="006B057C" w:rsidP="006B057C"/>
    <w:p w14:paraId="0BCF0D04" w14:textId="77777777" w:rsidR="006B057C" w:rsidRPr="006B057C" w:rsidRDefault="006B057C" w:rsidP="006B057C">
      <w:pPr>
        <w:rPr>
          <w:b/>
          <w:bCs/>
        </w:rPr>
      </w:pPr>
      <w:r w:rsidRPr="006B057C">
        <w:rPr>
          <w:rFonts w:hint="eastAsia"/>
          <w:b/>
          <w:bCs/>
        </w:rPr>
        <w:t>第二章</w:t>
      </w:r>
      <w:r w:rsidRPr="006B057C">
        <w:rPr>
          <w:b/>
          <w:bCs/>
        </w:rPr>
        <w:t xml:space="preserve"> 2015-2019年全球常温乳酸菌饮品市场现状分析</w:t>
      </w:r>
    </w:p>
    <w:p w14:paraId="21331C56" w14:textId="77777777" w:rsidR="006B057C" w:rsidRDefault="006B057C" w:rsidP="006B057C">
      <w:r>
        <w:rPr>
          <w:rFonts w:hint="eastAsia"/>
        </w:rPr>
        <w:t>第一节</w:t>
      </w:r>
      <w:r>
        <w:t xml:space="preserve"> 2015-2019年国际常温乳酸菌饮品市场现状分析</w:t>
      </w:r>
    </w:p>
    <w:p w14:paraId="40D2C677" w14:textId="77777777" w:rsidR="006B057C" w:rsidRDefault="006B057C" w:rsidP="006B057C">
      <w:r>
        <w:rPr>
          <w:rFonts w:hint="eastAsia"/>
        </w:rPr>
        <w:t>一、国际常温乳酸菌饮品市场发展历程</w:t>
      </w:r>
    </w:p>
    <w:p w14:paraId="7114980C" w14:textId="77777777" w:rsidR="006B057C" w:rsidRDefault="006B057C" w:rsidP="006B057C">
      <w:r>
        <w:rPr>
          <w:rFonts w:hint="eastAsia"/>
        </w:rPr>
        <w:t>二、国际主要国家常温乳酸菌饮品发展情况分析</w:t>
      </w:r>
    </w:p>
    <w:p w14:paraId="3E19F5E0" w14:textId="77777777" w:rsidR="006B057C" w:rsidRDefault="006B057C" w:rsidP="006B057C">
      <w:r>
        <w:rPr>
          <w:rFonts w:hint="eastAsia"/>
        </w:rPr>
        <w:t>三、国际常温乳酸菌饮品市场发展趋势</w:t>
      </w:r>
    </w:p>
    <w:p w14:paraId="04FA7369" w14:textId="77777777" w:rsidR="006B057C" w:rsidRDefault="006B057C" w:rsidP="006B057C">
      <w:r>
        <w:rPr>
          <w:rFonts w:hint="eastAsia"/>
        </w:rPr>
        <w:t>第二节</w:t>
      </w:r>
      <w:r>
        <w:t xml:space="preserve"> 2015-2019年中国常温乳酸菌饮品市场现状分析</w:t>
      </w:r>
    </w:p>
    <w:p w14:paraId="172A3F3D" w14:textId="77777777" w:rsidR="006B057C" w:rsidRDefault="006B057C" w:rsidP="006B057C">
      <w:r>
        <w:rPr>
          <w:rFonts w:hint="eastAsia"/>
        </w:rPr>
        <w:t>一、</w:t>
      </w:r>
      <w:r>
        <w:t xml:space="preserve"> 2015-2019年中国常温乳酸菌饮品市场规模统计分析</w:t>
      </w:r>
    </w:p>
    <w:p w14:paraId="4AC8D490" w14:textId="77777777" w:rsidR="006B057C" w:rsidRDefault="006B057C" w:rsidP="006B057C">
      <w:r>
        <w:rPr>
          <w:rFonts w:hint="eastAsia"/>
        </w:rPr>
        <w:t>二、</w:t>
      </w:r>
      <w:r>
        <w:t xml:space="preserve"> 2015-2019年中国常温乳酸菌饮品市场供给统计分析</w:t>
      </w:r>
    </w:p>
    <w:p w14:paraId="158F6425" w14:textId="77777777" w:rsidR="006B057C" w:rsidRDefault="006B057C" w:rsidP="006B057C">
      <w:r>
        <w:rPr>
          <w:rFonts w:hint="eastAsia"/>
        </w:rPr>
        <w:t>三、</w:t>
      </w:r>
      <w:r>
        <w:t xml:space="preserve"> 2015-2019年中国常温乳酸菌饮品市场需求统计分析</w:t>
      </w:r>
    </w:p>
    <w:p w14:paraId="39018C06" w14:textId="77777777" w:rsidR="006B057C" w:rsidRDefault="006B057C" w:rsidP="006B057C">
      <w:r>
        <w:rPr>
          <w:rFonts w:hint="eastAsia"/>
        </w:rPr>
        <w:t>四、</w:t>
      </w:r>
      <w:r>
        <w:t xml:space="preserve"> 2015-2019年中国常温乳酸菌饮品行业产能统计分析</w:t>
      </w:r>
    </w:p>
    <w:p w14:paraId="0B659EF2" w14:textId="77777777" w:rsidR="006B057C" w:rsidRDefault="006B057C" w:rsidP="006B057C">
      <w:r>
        <w:t>1、2015-2019年中国常温乳酸菌饮品行业产能统计</w:t>
      </w:r>
    </w:p>
    <w:p w14:paraId="548F5872" w14:textId="77777777" w:rsidR="006B057C" w:rsidRDefault="006B057C" w:rsidP="006B057C">
      <w:r>
        <w:lastRenderedPageBreak/>
        <w:t>2、2015-2019年中国常温乳酸菌饮品行业产能配置与产能利用率分析</w:t>
      </w:r>
    </w:p>
    <w:p w14:paraId="1A40DF8A" w14:textId="77777777" w:rsidR="006B057C" w:rsidRDefault="006B057C" w:rsidP="006B057C">
      <w:r>
        <w:rPr>
          <w:rFonts w:hint="eastAsia"/>
        </w:rPr>
        <w:t>五、</w:t>
      </w:r>
      <w:r>
        <w:t>2015-2019年中国常温乳酸菌饮品行业PEST（环境）分析</w:t>
      </w:r>
    </w:p>
    <w:p w14:paraId="45CC679B" w14:textId="77777777" w:rsidR="006B057C" w:rsidRDefault="006B057C" w:rsidP="006B057C">
      <w:r>
        <w:t>1、经济环境分析</w:t>
      </w:r>
    </w:p>
    <w:p w14:paraId="4DAF812C" w14:textId="77777777" w:rsidR="006B057C" w:rsidRDefault="006B057C" w:rsidP="006B057C">
      <w:r>
        <w:t>2、政策环境分析</w:t>
      </w:r>
    </w:p>
    <w:p w14:paraId="60FB42FC" w14:textId="77777777" w:rsidR="006B057C" w:rsidRDefault="006B057C" w:rsidP="006B057C">
      <w:r>
        <w:t>3、社会环境分析</w:t>
      </w:r>
    </w:p>
    <w:p w14:paraId="22459AC3" w14:textId="77777777" w:rsidR="006B057C" w:rsidRDefault="006B057C" w:rsidP="006B057C">
      <w:r>
        <w:t>4、技术环境分析</w:t>
      </w:r>
    </w:p>
    <w:p w14:paraId="634EDCD1" w14:textId="77777777" w:rsidR="006B057C" w:rsidRDefault="006B057C" w:rsidP="006B057C"/>
    <w:p w14:paraId="637A1DAF" w14:textId="77777777" w:rsidR="006B057C" w:rsidRPr="006B057C" w:rsidRDefault="006B057C" w:rsidP="006B057C">
      <w:pPr>
        <w:rPr>
          <w:b/>
          <w:bCs/>
        </w:rPr>
      </w:pPr>
      <w:r w:rsidRPr="006B057C">
        <w:rPr>
          <w:rFonts w:hint="eastAsia"/>
          <w:b/>
          <w:bCs/>
        </w:rPr>
        <w:t>第三章</w:t>
      </w:r>
      <w:r w:rsidRPr="006B057C">
        <w:rPr>
          <w:b/>
          <w:bCs/>
        </w:rPr>
        <w:t xml:space="preserve"> 2015-2019年中国常温乳酸菌饮品市场供需平衡调查分析</w:t>
      </w:r>
    </w:p>
    <w:p w14:paraId="5ED1A1A8" w14:textId="77777777" w:rsidR="006B057C" w:rsidRDefault="006B057C" w:rsidP="006B057C">
      <w:r>
        <w:rPr>
          <w:rFonts w:hint="eastAsia"/>
        </w:rPr>
        <w:t>第一节</w:t>
      </w:r>
      <w:r>
        <w:t xml:space="preserve"> 2015-2019年中国常温乳酸菌饮品市场供需平衡分析</w:t>
      </w:r>
    </w:p>
    <w:p w14:paraId="2B339721" w14:textId="77777777" w:rsidR="006B057C" w:rsidRDefault="006B057C" w:rsidP="006B057C">
      <w:r>
        <w:rPr>
          <w:rFonts w:hint="eastAsia"/>
        </w:rPr>
        <w:t>第二节</w:t>
      </w:r>
      <w:r>
        <w:t xml:space="preserve"> 2015-2019年影响常温乳酸菌饮品市场供需平衡的因素分析</w:t>
      </w:r>
    </w:p>
    <w:p w14:paraId="75399272" w14:textId="77777777" w:rsidR="006B057C" w:rsidRDefault="006B057C" w:rsidP="006B057C">
      <w:r>
        <w:rPr>
          <w:rFonts w:hint="eastAsia"/>
        </w:rPr>
        <w:t>第三节</w:t>
      </w:r>
      <w:r>
        <w:t xml:space="preserve"> 2020-2026年常温乳酸菌饮品市场供需平衡走势分析预测</w:t>
      </w:r>
    </w:p>
    <w:p w14:paraId="3CB407DD" w14:textId="77777777" w:rsidR="006B057C" w:rsidRDefault="006B057C" w:rsidP="006B057C"/>
    <w:p w14:paraId="619E8B37" w14:textId="77777777" w:rsidR="006B057C" w:rsidRPr="006B057C" w:rsidRDefault="006B057C" w:rsidP="006B057C">
      <w:pPr>
        <w:rPr>
          <w:b/>
          <w:bCs/>
        </w:rPr>
      </w:pPr>
      <w:r w:rsidRPr="006B057C">
        <w:rPr>
          <w:rFonts w:hint="eastAsia"/>
          <w:b/>
          <w:bCs/>
        </w:rPr>
        <w:t>第四章</w:t>
      </w:r>
      <w:r w:rsidRPr="006B057C">
        <w:rPr>
          <w:b/>
          <w:bCs/>
        </w:rPr>
        <w:t xml:space="preserve"> 常温乳酸菌饮品市场价格走势及影响因素分析</w:t>
      </w:r>
    </w:p>
    <w:p w14:paraId="1A4FA655" w14:textId="77777777" w:rsidR="006B057C" w:rsidRDefault="006B057C" w:rsidP="006B057C">
      <w:r>
        <w:rPr>
          <w:rFonts w:hint="eastAsia"/>
        </w:rPr>
        <w:t>第一节</w:t>
      </w:r>
      <w:r>
        <w:t xml:space="preserve"> 2015-2019年中国常温乳酸菌饮品产品价格统计分析</w:t>
      </w:r>
    </w:p>
    <w:p w14:paraId="7CACCD30" w14:textId="77777777" w:rsidR="006B057C" w:rsidRDefault="006B057C" w:rsidP="006B057C">
      <w:r>
        <w:rPr>
          <w:rFonts w:hint="eastAsia"/>
        </w:rPr>
        <w:t>第二节</w:t>
      </w:r>
      <w:r>
        <w:t xml:space="preserve"> 中国常温乳酸菌饮品产品当前市场价格</w:t>
      </w:r>
    </w:p>
    <w:p w14:paraId="0C48A121" w14:textId="77777777" w:rsidR="006B057C" w:rsidRDefault="006B057C" w:rsidP="006B057C">
      <w:r>
        <w:rPr>
          <w:rFonts w:hint="eastAsia"/>
        </w:rPr>
        <w:t>一、常温乳酸菌饮品产品当前价格分析</w:t>
      </w:r>
    </w:p>
    <w:p w14:paraId="595A17AC" w14:textId="77777777" w:rsidR="006B057C" w:rsidRDefault="006B057C" w:rsidP="006B057C">
      <w:r>
        <w:rPr>
          <w:rFonts w:hint="eastAsia"/>
        </w:rPr>
        <w:t>二、主要生产企业常温乳酸菌饮品产品价格调查</w:t>
      </w:r>
    </w:p>
    <w:p w14:paraId="704B1386" w14:textId="77777777" w:rsidR="006B057C" w:rsidRDefault="006B057C" w:rsidP="006B057C">
      <w:r>
        <w:rPr>
          <w:rFonts w:hint="eastAsia"/>
        </w:rPr>
        <w:t>第三节</w:t>
      </w:r>
      <w:r>
        <w:t xml:space="preserve"> 中国常温乳酸菌饮品行业产品当前价格影响因素分析</w:t>
      </w:r>
    </w:p>
    <w:p w14:paraId="0B38E70E" w14:textId="77777777" w:rsidR="006B057C" w:rsidRDefault="006B057C" w:rsidP="006B057C"/>
    <w:p w14:paraId="2104C2CE" w14:textId="77777777" w:rsidR="006B057C" w:rsidRPr="006B057C" w:rsidRDefault="006B057C" w:rsidP="006B057C">
      <w:pPr>
        <w:rPr>
          <w:b/>
          <w:bCs/>
        </w:rPr>
      </w:pPr>
      <w:r w:rsidRPr="006B057C">
        <w:rPr>
          <w:rFonts w:hint="eastAsia"/>
          <w:b/>
          <w:bCs/>
        </w:rPr>
        <w:t>第五章</w:t>
      </w:r>
      <w:r w:rsidRPr="006B057C">
        <w:rPr>
          <w:b/>
          <w:bCs/>
        </w:rPr>
        <w:t xml:space="preserve"> 常温乳酸菌饮品市场发展特点分析</w:t>
      </w:r>
    </w:p>
    <w:p w14:paraId="4EB20D96" w14:textId="77777777" w:rsidR="006B057C" w:rsidRDefault="006B057C" w:rsidP="006B057C">
      <w:r>
        <w:rPr>
          <w:rFonts w:hint="eastAsia"/>
        </w:rPr>
        <w:t>第一节</w:t>
      </w:r>
      <w:r>
        <w:t xml:space="preserve"> 常温乳酸菌饮品市场周期性、季节性等特点</w:t>
      </w:r>
    </w:p>
    <w:p w14:paraId="1FC0088A" w14:textId="77777777" w:rsidR="006B057C" w:rsidRDefault="006B057C" w:rsidP="006B057C">
      <w:r>
        <w:rPr>
          <w:rFonts w:hint="eastAsia"/>
        </w:rPr>
        <w:t>第二节</w:t>
      </w:r>
      <w:r>
        <w:t xml:space="preserve"> 常温乳酸菌饮品市场壁垒</w:t>
      </w:r>
    </w:p>
    <w:p w14:paraId="25144FD4" w14:textId="77777777" w:rsidR="006B057C" w:rsidRDefault="006B057C" w:rsidP="006B057C">
      <w:r>
        <w:rPr>
          <w:rFonts w:hint="eastAsia"/>
        </w:rPr>
        <w:t>一、常温乳酸菌饮品市场进入壁垒</w:t>
      </w:r>
    </w:p>
    <w:p w14:paraId="17474C9D" w14:textId="77777777" w:rsidR="006B057C" w:rsidRDefault="006B057C" w:rsidP="006B057C">
      <w:r>
        <w:rPr>
          <w:rFonts w:hint="eastAsia"/>
        </w:rPr>
        <w:t>二、常温乳酸菌饮品市场成长壁垒</w:t>
      </w:r>
    </w:p>
    <w:p w14:paraId="2552D949" w14:textId="77777777" w:rsidR="006B057C" w:rsidRDefault="006B057C" w:rsidP="006B057C">
      <w:r>
        <w:rPr>
          <w:rFonts w:hint="eastAsia"/>
        </w:rPr>
        <w:t>三、常温乳酸菌饮品其他壁垒分析</w:t>
      </w:r>
    </w:p>
    <w:p w14:paraId="76668C79" w14:textId="77777777" w:rsidR="006B057C" w:rsidRDefault="006B057C" w:rsidP="006B057C">
      <w:r>
        <w:rPr>
          <w:rFonts w:hint="eastAsia"/>
        </w:rPr>
        <w:t>第三节</w:t>
      </w:r>
      <w:r>
        <w:t xml:space="preserve"> 常温乳酸菌饮品市场发展SWOT分析</w:t>
      </w:r>
    </w:p>
    <w:p w14:paraId="5727FEAF" w14:textId="77777777" w:rsidR="006B057C" w:rsidRDefault="006B057C" w:rsidP="006B057C">
      <w:r>
        <w:rPr>
          <w:rFonts w:hint="eastAsia"/>
        </w:rPr>
        <w:t>一、常温乳酸菌饮品市场发展优势分析</w:t>
      </w:r>
    </w:p>
    <w:p w14:paraId="34625BD0" w14:textId="77777777" w:rsidR="006B057C" w:rsidRDefault="006B057C" w:rsidP="006B057C">
      <w:r>
        <w:rPr>
          <w:rFonts w:hint="eastAsia"/>
        </w:rPr>
        <w:t>二、常温乳酸菌饮品市场发展劣势分析</w:t>
      </w:r>
    </w:p>
    <w:p w14:paraId="3C69050B" w14:textId="77777777" w:rsidR="006B057C" w:rsidRDefault="006B057C" w:rsidP="006B057C">
      <w:r>
        <w:rPr>
          <w:rFonts w:hint="eastAsia"/>
        </w:rPr>
        <w:t>三、常温乳酸菌饮品市场机遇分析</w:t>
      </w:r>
    </w:p>
    <w:p w14:paraId="23F33F9B" w14:textId="77777777" w:rsidR="006B057C" w:rsidRDefault="006B057C" w:rsidP="006B057C">
      <w:r>
        <w:rPr>
          <w:rFonts w:hint="eastAsia"/>
        </w:rPr>
        <w:t>四、常温乳酸菌饮品市场威胁分析</w:t>
      </w:r>
    </w:p>
    <w:p w14:paraId="45DBD129" w14:textId="77777777" w:rsidR="006B057C" w:rsidRDefault="006B057C" w:rsidP="006B057C">
      <w:r>
        <w:rPr>
          <w:rFonts w:hint="eastAsia"/>
        </w:rPr>
        <w:t>第四节</w:t>
      </w:r>
      <w:r>
        <w:t xml:space="preserve"> 常温乳酸菌饮品市场竞争程度分析</w:t>
      </w:r>
    </w:p>
    <w:p w14:paraId="1CF3E00C" w14:textId="77777777" w:rsidR="006B057C" w:rsidRDefault="006B057C" w:rsidP="006B057C">
      <w:r>
        <w:rPr>
          <w:rFonts w:hint="eastAsia"/>
        </w:rPr>
        <w:t>一、市场集中度分析</w:t>
      </w:r>
    </w:p>
    <w:p w14:paraId="52E6F125" w14:textId="77777777" w:rsidR="006B057C" w:rsidRDefault="006B057C" w:rsidP="006B057C">
      <w:r>
        <w:rPr>
          <w:rFonts w:hint="eastAsia"/>
        </w:rPr>
        <w:t>二、市场竞争类型分析</w:t>
      </w:r>
    </w:p>
    <w:p w14:paraId="00BDE88B" w14:textId="77777777" w:rsidR="006B057C" w:rsidRDefault="006B057C" w:rsidP="006B057C">
      <w:r>
        <w:rPr>
          <w:rFonts w:hint="eastAsia"/>
        </w:rPr>
        <w:t>三、重点企业竞争策略分析</w:t>
      </w:r>
    </w:p>
    <w:p w14:paraId="108ED6A5" w14:textId="77777777" w:rsidR="006B057C" w:rsidRDefault="006B057C" w:rsidP="006B057C"/>
    <w:p w14:paraId="52CD299F" w14:textId="77777777" w:rsidR="006B057C" w:rsidRPr="006B057C" w:rsidRDefault="006B057C" w:rsidP="006B057C">
      <w:pPr>
        <w:rPr>
          <w:b/>
          <w:bCs/>
        </w:rPr>
      </w:pPr>
      <w:r w:rsidRPr="006B057C">
        <w:rPr>
          <w:rFonts w:hint="eastAsia"/>
          <w:b/>
          <w:bCs/>
        </w:rPr>
        <w:t>第六章</w:t>
      </w:r>
      <w:r w:rsidRPr="006B057C">
        <w:rPr>
          <w:b/>
          <w:bCs/>
        </w:rPr>
        <w:t xml:space="preserve"> 中国常温乳酸菌饮品市场重点区域运行分析</w:t>
      </w:r>
    </w:p>
    <w:p w14:paraId="23C28826" w14:textId="77777777" w:rsidR="006B057C" w:rsidRDefault="006B057C" w:rsidP="006B057C">
      <w:r>
        <w:rPr>
          <w:rFonts w:hint="eastAsia"/>
        </w:rPr>
        <w:t>第一节</w:t>
      </w:r>
      <w:r>
        <w:t xml:space="preserve"> 华东地区市场运行情况</w:t>
      </w:r>
    </w:p>
    <w:p w14:paraId="78EDF19E" w14:textId="77777777" w:rsidR="006B057C" w:rsidRDefault="006B057C" w:rsidP="006B057C">
      <w:r>
        <w:rPr>
          <w:rFonts w:hint="eastAsia"/>
        </w:rPr>
        <w:t>一、</w:t>
      </w:r>
      <w:r>
        <w:t>2015-2019年华东地区市场规模</w:t>
      </w:r>
    </w:p>
    <w:p w14:paraId="5B5B361B" w14:textId="77777777" w:rsidR="006B057C" w:rsidRDefault="006B057C" w:rsidP="006B057C">
      <w:r>
        <w:rPr>
          <w:rFonts w:hint="eastAsia"/>
        </w:rPr>
        <w:t>二、华东地区市场特点</w:t>
      </w:r>
    </w:p>
    <w:p w14:paraId="55377F73" w14:textId="77777777" w:rsidR="006B057C" w:rsidRDefault="006B057C" w:rsidP="006B057C">
      <w:r>
        <w:rPr>
          <w:rFonts w:hint="eastAsia"/>
        </w:rPr>
        <w:t>三、</w:t>
      </w:r>
      <w:r>
        <w:t>2020-2026年华东地区市场潜力分析</w:t>
      </w:r>
    </w:p>
    <w:p w14:paraId="4D215038" w14:textId="77777777" w:rsidR="006B057C" w:rsidRDefault="006B057C" w:rsidP="006B057C">
      <w:r>
        <w:rPr>
          <w:rFonts w:hint="eastAsia"/>
        </w:rPr>
        <w:t>第二节</w:t>
      </w:r>
      <w:r>
        <w:t xml:space="preserve"> 华南地区市场运行情况</w:t>
      </w:r>
    </w:p>
    <w:p w14:paraId="120F4E56" w14:textId="77777777" w:rsidR="006B057C" w:rsidRDefault="006B057C" w:rsidP="006B057C">
      <w:r>
        <w:rPr>
          <w:rFonts w:hint="eastAsia"/>
        </w:rPr>
        <w:t>一、</w:t>
      </w:r>
      <w:r>
        <w:t>2015-2019年华南地区市场规模</w:t>
      </w:r>
    </w:p>
    <w:p w14:paraId="703CF27C" w14:textId="77777777" w:rsidR="006B057C" w:rsidRDefault="006B057C" w:rsidP="006B057C">
      <w:r>
        <w:rPr>
          <w:rFonts w:hint="eastAsia"/>
        </w:rPr>
        <w:t>二、华南地区市场特点</w:t>
      </w:r>
    </w:p>
    <w:p w14:paraId="6D2F768E" w14:textId="77777777" w:rsidR="006B057C" w:rsidRDefault="006B057C" w:rsidP="006B057C">
      <w:r>
        <w:rPr>
          <w:rFonts w:hint="eastAsia"/>
        </w:rPr>
        <w:t>三、</w:t>
      </w:r>
      <w:r>
        <w:t>2020-2026年华南地区市场潜力分析</w:t>
      </w:r>
    </w:p>
    <w:p w14:paraId="50E41AFF" w14:textId="77777777" w:rsidR="006B057C" w:rsidRDefault="006B057C" w:rsidP="006B057C">
      <w:r>
        <w:rPr>
          <w:rFonts w:hint="eastAsia"/>
        </w:rPr>
        <w:lastRenderedPageBreak/>
        <w:t>第三节</w:t>
      </w:r>
      <w:r>
        <w:t xml:space="preserve"> 华中地区市场运行情况</w:t>
      </w:r>
    </w:p>
    <w:p w14:paraId="59EC9AC0" w14:textId="77777777" w:rsidR="006B057C" w:rsidRDefault="006B057C" w:rsidP="006B057C">
      <w:r>
        <w:rPr>
          <w:rFonts w:hint="eastAsia"/>
        </w:rPr>
        <w:t>一、</w:t>
      </w:r>
      <w:r>
        <w:t>2015-2019年华中地区市场规模</w:t>
      </w:r>
    </w:p>
    <w:p w14:paraId="64F9AA17" w14:textId="77777777" w:rsidR="006B057C" w:rsidRDefault="006B057C" w:rsidP="006B057C">
      <w:r>
        <w:rPr>
          <w:rFonts w:hint="eastAsia"/>
        </w:rPr>
        <w:t>二、华中地区市场特点</w:t>
      </w:r>
    </w:p>
    <w:p w14:paraId="58FF153D" w14:textId="77777777" w:rsidR="006B057C" w:rsidRDefault="006B057C" w:rsidP="006B057C">
      <w:r>
        <w:rPr>
          <w:rFonts w:hint="eastAsia"/>
        </w:rPr>
        <w:t>三、</w:t>
      </w:r>
      <w:r>
        <w:t>2020-2026年华中地区市场潜力分析</w:t>
      </w:r>
    </w:p>
    <w:p w14:paraId="4CDE99AE" w14:textId="77777777" w:rsidR="006B057C" w:rsidRDefault="006B057C" w:rsidP="006B057C">
      <w:r>
        <w:rPr>
          <w:rFonts w:hint="eastAsia"/>
        </w:rPr>
        <w:t>第四节</w:t>
      </w:r>
      <w:r>
        <w:t xml:space="preserve"> 华北地区市场运行情况</w:t>
      </w:r>
    </w:p>
    <w:p w14:paraId="12BA7DDB" w14:textId="77777777" w:rsidR="006B057C" w:rsidRDefault="006B057C" w:rsidP="006B057C">
      <w:r>
        <w:rPr>
          <w:rFonts w:hint="eastAsia"/>
        </w:rPr>
        <w:t>一、</w:t>
      </w:r>
      <w:r>
        <w:t>2015-2019年华北地区市场规模</w:t>
      </w:r>
    </w:p>
    <w:p w14:paraId="177B05A4" w14:textId="77777777" w:rsidR="006B057C" w:rsidRDefault="006B057C" w:rsidP="006B057C">
      <w:r>
        <w:rPr>
          <w:rFonts w:hint="eastAsia"/>
        </w:rPr>
        <w:t>二、华北地区市场特点</w:t>
      </w:r>
    </w:p>
    <w:p w14:paraId="65941834" w14:textId="77777777" w:rsidR="006B057C" w:rsidRDefault="006B057C" w:rsidP="006B057C">
      <w:r>
        <w:rPr>
          <w:rFonts w:hint="eastAsia"/>
        </w:rPr>
        <w:t>三、</w:t>
      </w:r>
      <w:r>
        <w:t>2020-2026年华北地区市场潜力分析</w:t>
      </w:r>
    </w:p>
    <w:p w14:paraId="7D71627F" w14:textId="77777777" w:rsidR="006B057C" w:rsidRDefault="006B057C" w:rsidP="006B057C">
      <w:r>
        <w:rPr>
          <w:rFonts w:hint="eastAsia"/>
        </w:rPr>
        <w:t>第五节</w:t>
      </w:r>
      <w:r>
        <w:t xml:space="preserve"> 西北地区市场运行情况</w:t>
      </w:r>
    </w:p>
    <w:p w14:paraId="01DC99A7" w14:textId="77777777" w:rsidR="006B057C" w:rsidRDefault="006B057C" w:rsidP="006B057C">
      <w:r>
        <w:rPr>
          <w:rFonts w:hint="eastAsia"/>
        </w:rPr>
        <w:t>一、</w:t>
      </w:r>
      <w:r>
        <w:t>2015-2019年西北地区市场规模</w:t>
      </w:r>
    </w:p>
    <w:p w14:paraId="06FF445C" w14:textId="77777777" w:rsidR="006B057C" w:rsidRDefault="006B057C" w:rsidP="006B057C">
      <w:r>
        <w:rPr>
          <w:rFonts w:hint="eastAsia"/>
        </w:rPr>
        <w:t>二、西北地区市场特点</w:t>
      </w:r>
    </w:p>
    <w:p w14:paraId="09EE22BE" w14:textId="77777777" w:rsidR="006B057C" w:rsidRDefault="006B057C" w:rsidP="006B057C">
      <w:r>
        <w:rPr>
          <w:rFonts w:hint="eastAsia"/>
        </w:rPr>
        <w:t>三、</w:t>
      </w:r>
      <w:r>
        <w:t>2020-2026年西北地区市场潜力分析</w:t>
      </w:r>
    </w:p>
    <w:p w14:paraId="0FB788AA" w14:textId="77777777" w:rsidR="006B057C" w:rsidRDefault="006B057C" w:rsidP="006B057C">
      <w:r>
        <w:rPr>
          <w:rFonts w:hint="eastAsia"/>
        </w:rPr>
        <w:t>第六节</w:t>
      </w:r>
      <w:r>
        <w:t xml:space="preserve"> 西南地区市场运行情况</w:t>
      </w:r>
    </w:p>
    <w:p w14:paraId="0F02AE71" w14:textId="77777777" w:rsidR="006B057C" w:rsidRDefault="006B057C" w:rsidP="006B057C">
      <w:r>
        <w:rPr>
          <w:rFonts w:hint="eastAsia"/>
        </w:rPr>
        <w:t>一、</w:t>
      </w:r>
      <w:r>
        <w:t>2015-2019年西南地区市场规模</w:t>
      </w:r>
    </w:p>
    <w:p w14:paraId="74EAD8F9" w14:textId="77777777" w:rsidR="006B057C" w:rsidRDefault="006B057C" w:rsidP="006B057C">
      <w:r>
        <w:rPr>
          <w:rFonts w:hint="eastAsia"/>
        </w:rPr>
        <w:t>二、西南地区市场特点</w:t>
      </w:r>
    </w:p>
    <w:p w14:paraId="7092C3F0" w14:textId="77777777" w:rsidR="006B057C" w:rsidRDefault="006B057C" w:rsidP="006B057C">
      <w:r>
        <w:rPr>
          <w:rFonts w:hint="eastAsia"/>
        </w:rPr>
        <w:t>三、西南地区市场潜力分析</w:t>
      </w:r>
    </w:p>
    <w:p w14:paraId="4973B537" w14:textId="77777777" w:rsidR="006B057C" w:rsidRDefault="006B057C" w:rsidP="006B057C">
      <w:r>
        <w:rPr>
          <w:rFonts w:hint="eastAsia"/>
        </w:rPr>
        <w:t>第七节</w:t>
      </w:r>
      <w:r>
        <w:t xml:space="preserve"> 东北地区市场运行情况</w:t>
      </w:r>
    </w:p>
    <w:p w14:paraId="76FBCF86" w14:textId="77777777" w:rsidR="006B057C" w:rsidRDefault="006B057C" w:rsidP="006B057C">
      <w:r>
        <w:rPr>
          <w:rFonts w:hint="eastAsia"/>
        </w:rPr>
        <w:t>一、</w:t>
      </w:r>
      <w:r>
        <w:t>2015-2019年东北地区市场规模</w:t>
      </w:r>
    </w:p>
    <w:p w14:paraId="35555200" w14:textId="77777777" w:rsidR="006B057C" w:rsidRDefault="006B057C" w:rsidP="006B057C">
      <w:r>
        <w:rPr>
          <w:rFonts w:hint="eastAsia"/>
        </w:rPr>
        <w:t>二、东北地区市场特点</w:t>
      </w:r>
    </w:p>
    <w:p w14:paraId="25378977" w14:textId="77777777" w:rsidR="006B057C" w:rsidRDefault="006B057C" w:rsidP="006B057C">
      <w:r>
        <w:rPr>
          <w:rFonts w:hint="eastAsia"/>
        </w:rPr>
        <w:t>三、</w:t>
      </w:r>
      <w:r>
        <w:t>2020-2026年东北地区市场潜力分析</w:t>
      </w:r>
    </w:p>
    <w:p w14:paraId="5EA16E4C" w14:textId="77777777" w:rsidR="006B057C" w:rsidRDefault="006B057C" w:rsidP="006B057C"/>
    <w:p w14:paraId="7211522B" w14:textId="77777777" w:rsidR="006B057C" w:rsidRPr="006B057C" w:rsidRDefault="006B057C" w:rsidP="006B057C">
      <w:pPr>
        <w:rPr>
          <w:b/>
          <w:bCs/>
        </w:rPr>
      </w:pPr>
      <w:r w:rsidRPr="006B057C">
        <w:rPr>
          <w:rFonts w:hint="eastAsia"/>
          <w:b/>
          <w:bCs/>
        </w:rPr>
        <w:t>第七章</w:t>
      </w:r>
      <w:r w:rsidRPr="006B057C">
        <w:rPr>
          <w:b/>
          <w:bCs/>
        </w:rPr>
        <w:t xml:space="preserve"> 常温乳酸菌饮品细分产品市场分析</w:t>
      </w:r>
    </w:p>
    <w:p w14:paraId="1D8A1F6E" w14:textId="77777777" w:rsidR="006B057C" w:rsidRDefault="006B057C" w:rsidP="006B057C">
      <w:r>
        <w:rPr>
          <w:rFonts w:hint="eastAsia"/>
        </w:rPr>
        <w:t>第一节</w:t>
      </w:r>
      <w:r>
        <w:t xml:space="preserve"> 常温乳酸菌饮品产品细分结构</w:t>
      </w:r>
    </w:p>
    <w:p w14:paraId="56E47056" w14:textId="77777777" w:rsidR="006B057C" w:rsidRDefault="006B057C" w:rsidP="006B057C">
      <w:r>
        <w:rPr>
          <w:rFonts w:hint="eastAsia"/>
        </w:rPr>
        <w:t>第二节</w:t>
      </w:r>
      <w:r>
        <w:t xml:space="preserve"> 常温乳酸菌饮品产品各细分产品需求分析（需求特征、需求占比）</w:t>
      </w:r>
    </w:p>
    <w:p w14:paraId="14B687FC" w14:textId="77777777" w:rsidR="006B057C" w:rsidRDefault="006B057C" w:rsidP="006B057C">
      <w:r>
        <w:rPr>
          <w:rFonts w:hint="eastAsia"/>
        </w:rPr>
        <w:t>第三节</w:t>
      </w:r>
      <w:r>
        <w:t xml:space="preserve"> 常温乳酸菌饮品产品重点细分产品市场前景预测</w:t>
      </w:r>
    </w:p>
    <w:p w14:paraId="398B81E0" w14:textId="77777777" w:rsidR="006B057C" w:rsidRDefault="006B057C" w:rsidP="006B057C"/>
    <w:p w14:paraId="3802321C" w14:textId="77777777" w:rsidR="006B057C" w:rsidRPr="006B057C" w:rsidRDefault="006B057C" w:rsidP="006B057C">
      <w:pPr>
        <w:rPr>
          <w:b/>
          <w:bCs/>
        </w:rPr>
      </w:pPr>
      <w:r w:rsidRPr="006B057C">
        <w:rPr>
          <w:rFonts w:hint="eastAsia"/>
          <w:b/>
          <w:bCs/>
        </w:rPr>
        <w:t>第八章</w:t>
      </w:r>
      <w:r w:rsidRPr="006B057C">
        <w:rPr>
          <w:b/>
          <w:bCs/>
        </w:rPr>
        <w:t xml:space="preserve"> 中国进出口数据分析</w:t>
      </w:r>
    </w:p>
    <w:p w14:paraId="47493DCE" w14:textId="77777777" w:rsidR="006B057C" w:rsidRDefault="006B057C" w:rsidP="006B057C">
      <w:r>
        <w:rPr>
          <w:rFonts w:hint="eastAsia"/>
        </w:rPr>
        <w:t>第一节</w:t>
      </w:r>
      <w:r>
        <w:t xml:space="preserve"> 进口分析</w:t>
      </w:r>
    </w:p>
    <w:p w14:paraId="5FD4D54F" w14:textId="77777777" w:rsidR="006B057C" w:rsidRDefault="006B057C" w:rsidP="006B057C">
      <w:r>
        <w:rPr>
          <w:rFonts w:hint="eastAsia"/>
        </w:rPr>
        <w:t>一、近三年常温乳酸菌饮品产品进口量及增速统计分析</w:t>
      </w:r>
    </w:p>
    <w:p w14:paraId="030830DD" w14:textId="77777777" w:rsidR="006B057C" w:rsidRDefault="006B057C" w:rsidP="006B057C">
      <w:r>
        <w:rPr>
          <w:rFonts w:hint="eastAsia"/>
        </w:rPr>
        <w:t>二、近三年常温乳酸菌饮品产品进口额及增速统计分析</w:t>
      </w:r>
    </w:p>
    <w:p w14:paraId="6C4736BE" w14:textId="77777777" w:rsidR="006B057C" w:rsidRDefault="006B057C" w:rsidP="006B057C">
      <w:r>
        <w:rPr>
          <w:rFonts w:hint="eastAsia"/>
        </w:rPr>
        <w:t>三、近三年常温乳酸菌饮品产品进口价格统计分析</w:t>
      </w:r>
    </w:p>
    <w:p w14:paraId="030C1A87" w14:textId="77777777" w:rsidR="006B057C" w:rsidRDefault="006B057C" w:rsidP="006B057C">
      <w:r>
        <w:rPr>
          <w:rFonts w:hint="eastAsia"/>
        </w:rPr>
        <w:t>四、常温乳酸菌饮品进口的产品结构分析</w:t>
      </w:r>
    </w:p>
    <w:p w14:paraId="02626F0F" w14:textId="77777777" w:rsidR="006B057C" w:rsidRDefault="006B057C" w:rsidP="006B057C">
      <w:r>
        <w:rPr>
          <w:rFonts w:hint="eastAsia"/>
        </w:rPr>
        <w:t>五、影响常温乳酸菌饮品产品进口的因素分析</w:t>
      </w:r>
    </w:p>
    <w:p w14:paraId="154B46E8" w14:textId="77777777" w:rsidR="006B057C" w:rsidRDefault="006B057C" w:rsidP="006B057C">
      <w:r>
        <w:rPr>
          <w:rFonts w:hint="eastAsia"/>
        </w:rPr>
        <w:t>六、</w:t>
      </w:r>
      <w:r>
        <w:t>2020-2026年常温乳酸菌饮品行业进口形势分析预测</w:t>
      </w:r>
    </w:p>
    <w:p w14:paraId="03EBDC17" w14:textId="77777777" w:rsidR="006B057C" w:rsidRDefault="006B057C" w:rsidP="006B057C">
      <w:r>
        <w:rPr>
          <w:rFonts w:hint="eastAsia"/>
        </w:rPr>
        <w:t>第二节</w:t>
      </w:r>
      <w:r>
        <w:t xml:space="preserve"> 出口分析</w:t>
      </w:r>
    </w:p>
    <w:p w14:paraId="0A6717D9" w14:textId="77777777" w:rsidR="006B057C" w:rsidRDefault="006B057C" w:rsidP="006B057C">
      <w:r>
        <w:rPr>
          <w:rFonts w:hint="eastAsia"/>
        </w:rPr>
        <w:t>一、近三年常温乳酸菌饮品产品出口量及增速统计分析</w:t>
      </w:r>
    </w:p>
    <w:p w14:paraId="300A97AC" w14:textId="77777777" w:rsidR="006B057C" w:rsidRDefault="006B057C" w:rsidP="006B057C">
      <w:r>
        <w:rPr>
          <w:rFonts w:hint="eastAsia"/>
        </w:rPr>
        <w:t>二、近三年常温乳酸菌饮品产品出口额及增速统计分析</w:t>
      </w:r>
    </w:p>
    <w:p w14:paraId="21697FD7" w14:textId="77777777" w:rsidR="006B057C" w:rsidRDefault="006B057C" w:rsidP="006B057C">
      <w:r>
        <w:rPr>
          <w:rFonts w:hint="eastAsia"/>
        </w:rPr>
        <w:t>三、近三年常温乳酸菌饮品产品出口价格统计分析</w:t>
      </w:r>
    </w:p>
    <w:p w14:paraId="675A2103" w14:textId="77777777" w:rsidR="006B057C" w:rsidRDefault="006B057C" w:rsidP="006B057C">
      <w:r>
        <w:rPr>
          <w:rFonts w:hint="eastAsia"/>
        </w:rPr>
        <w:t>四、出口产品在海外市场分布情况</w:t>
      </w:r>
    </w:p>
    <w:p w14:paraId="07B15BFE" w14:textId="77777777" w:rsidR="006B057C" w:rsidRDefault="006B057C" w:rsidP="006B057C">
      <w:r>
        <w:rPr>
          <w:rFonts w:hint="eastAsia"/>
        </w:rPr>
        <w:t>五、影响常温乳酸菌饮品产品出口的因素分析</w:t>
      </w:r>
    </w:p>
    <w:p w14:paraId="3A22C1F7" w14:textId="77777777" w:rsidR="006B057C" w:rsidRDefault="006B057C" w:rsidP="006B057C">
      <w:r>
        <w:rPr>
          <w:rFonts w:hint="eastAsia"/>
        </w:rPr>
        <w:t>六、</w:t>
      </w:r>
      <w:r>
        <w:t>2020-2026年常温乳酸菌饮品行业出口形势分析预测</w:t>
      </w:r>
    </w:p>
    <w:p w14:paraId="6277FE64" w14:textId="77777777" w:rsidR="006B057C" w:rsidRDefault="006B057C" w:rsidP="006B057C">
      <w:r>
        <w:rPr>
          <w:rFonts w:hint="eastAsia"/>
        </w:rPr>
        <w:t>第三节</w:t>
      </w:r>
      <w:r>
        <w:t xml:space="preserve"> 常温乳酸菌饮品产品进出口政策</w:t>
      </w:r>
    </w:p>
    <w:p w14:paraId="30671E1E" w14:textId="77777777" w:rsidR="006B057C" w:rsidRDefault="006B057C" w:rsidP="006B057C"/>
    <w:p w14:paraId="7EFB2BED" w14:textId="77777777" w:rsidR="006B057C" w:rsidRPr="006B057C" w:rsidRDefault="006B057C" w:rsidP="006B057C">
      <w:pPr>
        <w:rPr>
          <w:b/>
          <w:bCs/>
        </w:rPr>
      </w:pPr>
      <w:r w:rsidRPr="006B057C">
        <w:rPr>
          <w:rFonts w:hint="eastAsia"/>
          <w:b/>
          <w:bCs/>
        </w:rPr>
        <w:t>第九章</w:t>
      </w:r>
      <w:r w:rsidRPr="006B057C">
        <w:rPr>
          <w:b/>
          <w:bCs/>
        </w:rPr>
        <w:t xml:space="preserve"> 行业重点生产企业分析</w:t>
      </w:r>
    </w:p>
    <w:p w14:paraId="04D12ACC" w14:textId="77777777" w:rsidR="006B057C" w:rsidRDefault="006B057C" w:rsidP="006B057C">
      <w:r>
        <w:rPr>
          <w:rFonts w:hint="eastAsia"/>
        </w:rPr>
        <w:lastRenderedPageBreak/>
        <w:t>第一节</w:t>
      </w:r>
      <w:r>
        <w:t xml:space="preserve"> A企业</w:t>
      </w:r>
    </w:p>
    <w:p w14:paraId="676385C9" w14:textId="77777777" w:rsidR="006B057C" w:rsidRDefault="006B057C" w:rsidP="006B057C">
      <w:r>
        <w:rPr>
          <w:rFonts w:hint="eastAsia"/>
        </w:rPr>
        <w:t>一、企业发展基本情况</w:t>
      </w:r>
    </w:p>
    <w:p w14:paraId="70105A44" w14:textId="77777777" w:rsidR="006B057C" w:rsidRDefault="006B057C" w:rsidP="006B057C">
      <w:r>
        <w:rPr>
          <w:rFonts w:hint="eastAsia"/>
        </w:rPr>
        <w:t>二、企业经营状况分析</w:t>
      </w:r>
    </w:p>
    <w:p w14:paraId="3E63D246" w14:textId="77777777" w:rsidR="006B057C" w:rsidRDefault="006B057C" w:rsidP="006B057C">
      <w:r>
        <w:rPr>
          <w:rFonts w:hint="eastAsia"/>
        </w:rPr>
        <w:t>三、常温乳酸菌饮品产销数据分析</w:t>
      </w:r>
    </w:p>
    <w:p w14:paraId="16868CBE" w14:textId="77777777" w:rsidR="006B057C" w:rsidRDefault="006B057C" w:rsidP="006B057C">
      <w:r>
        <w:rPr>
          <w:rFonts w:hint="eastAsia"/>
        </w:rPr>
        <w:t>四、企业核心竞争力分析</w:t>
      </w:r>
    </w:p>
    <w:p w14:paraId="42D2092C" w14:textId="77777777" w:rsidR="006B057C" w:rsidRDefault="006B057C" w:rsidP="006B057C">
      <w:r>
        <w:rPr>
          <w:rFonts w:hint="eastAsia"/>
        </w:rPr>
        <w:t>第二节</w:t>
      </w:r>
      <w:r>
        <w:t xml:space="preserve"> B企业</w:t>
      </w:r>
    </w:p>
    <w:p w14:paraId="0EB6C703" w14:textId="77777777" w:rsidR="006B057C" w:rsidRDefault="006B057C" w:rsidP="006B057C">
      <w:r>
        <w:rPr>
          <w:rFonts w:hint="eastAsia"/>
        </w:rPr>
        <w:t>一、企业发展基本情况</w:t>
      </w:r>
    </w:p>
    <w:p w14:paraId="14FD7265" w14:textId="77777777" w:rsidR="006B057C" w:rsidRDefault="006B057C" w:rsidP="006B057C">
      <w:r>
        <w:rPr>
          <w:rFonts w:hint="eastAsia"/>
        </w:rPr>
        <w:t>二、企业经营状况分析</w:t>
      </w:r>
    </w:p>
    <w:p w14:paraId="5A1A37EC" w14:textId="77777777" w:rsidR="006B057C" w:rsidRDefault="006B057C" w:rsidP="006B057C">
      <w:r>
        <w:rPr>
          <w:rFonts w:hint="eastAsia"/>
        </w:rPr>
        <w:t>三、常温乳酸菌饮品产销数据分析</w:t>
      </w:r>
    </w:p>
    <w:p w14:paraId="3AE05185" w14:textId="77777777" w:rsidR="006B057C" w:rsidRDefault="006B057C" w:rsidP="006B057C">
      <w:r>
        <w:rPr>
          <w:rFonts w:hint="eastAsia"/>
        </w:rPr>
        <w:t>四、企业核心竞争力分析</w:t>
      </w:r>
    </w:p>
    <w:p w14:paraId="4AA42DAA" w14:textId="77777777" w:rsidR="006B057C" w:rsidRDefault="006B057C" w:rsidP="006B057C">
      <w:r>
        <w:rPr>
          <w:rFonts w:hint="eastAsia"/>
        </w:rPr>
        <w:t>第三节</w:t>
      </w:r>
      <w:r>
        <w:t xml:space="preserve"> C企业</w:t>
      </w:r>
    </w:p>
    <w:p w14:paraId="17789E23" w14:textId="77777777" w:rsidR="006B057C" w:rsidRDefault="006B057C" w:rsidP="006B057C">
      <w:r>
        <w:rPr>
          <w:rFonts w:hint="eastAsia"/>
        </w:rPr>
        <w:t>一、企业发展基本情况</w:t>
      </w:r>
    </w:p>
    <w:p w14:paraId="09577438" w14:textId="77777777" w:rsidR="006B057C" w:rsidRDefault="006B057C" w:rsidP="006B057C">
      <w:r>
        <w:rPr>
          <w:rFonts w:hint="eastAsia"/>
        </w:rPr>
        <w:t>二、企业经营状况分析</w:t>
      </w:r>
    </w:p>
    <w:p w14:paraId="7B12311A" w14:textId="77777777" w:rsidR="006B057C" w:rsidRDefault="006B057C" w:rsidP="006B057C">
      <w:r>
        <w:rPr>
          <w:rFonts w:hint="eastAsia"/>
        </w:rPr>
        <w:t>三、常温乳酸菌饮品产销数据分析</w:t>
      </w:r>
    </w:p>
    <w:p w14:paraId="03F2AB75" w14:textId="77777777" w:rsidR="006B057C" w:rsidRDefault="006B057C" w:rsidP="006B057C">
      <w:r>
        <w:rPr>
          <w:rFonts w:hint="eastAsia"/>
        </w:rPr>
        <w:t>四、企业核心竞争力分析</w:t>
      </w:r>
    </w:p>
    <w:p w14:paraId="0FA86878" w14:textId="77777777" w:rsidR="006B057C" w:rsidRDefault="006B057C" w:rsidP="006B057C">
      <w:r>
        <w:rPr>
          <w:rFonts w:hint="eastAsia"/>
        </w:rPr>
        <w:t>第四节</w:t>
      </w:r>
      <w:r>
        <w:t xml:space="preserve"> D企业</w:t>
      </w:r>
    </w:p>
    <w:p w14:paraId="4ABC8994" w14:textId="77777777" w:rsidR="006B057C" w:rsidRDefault="006B057C" w:rsidP="006B057C">
      <w:r>
        <w:rPr>
          <w:rFonts w:hint="eastAsia"/>
        </w:rPr>
        <w:t>一、企业发展基本情况</w:t>
      </w:r>
    </w:p>
    <w:p w14:paraId="3DF6BF45" w14:textId="77777777" w:rsidR="006B057C" w:rsidRDefault="006B057C" w:rsidP="006B057C">
      <w:r>
        <w:rPr>
          <w:rFonts w:hint="eastAsia"/>
        </w:rPr>
        <w:t>二、企业经营状况分析</w:t>
      </w:r>
    </w:p>
    <w:p w14:paraId="3E147F00" w14:textId="77777777" w:rsidR="006B057C" w:rsidRDefault="006B057C" w:rsidP="006B057C">
      <w:r>
        <w:rPr>
          <w:rFonts w:hint="eastAsia"/>
        </w:rPr>
        <w:t>三、常温乳酸菌饮品产销数据分析</w:t>
      </w:r>
    </w:p>
    <w:p w14:paraId="33590109" w14:textId="77777777" w:rsidR="006B057C" w:rsidRDefault="006B057C" w:rsidP="006B057C">
      <w:r>
        <w:rPr>
          <w:rFonts w:hint="eastAsia"/>
        </w:rPr>
        <w:t>四、企业核心竞争力分析</w:t>
      </w:r>
    </w:p>
    <w:p w14:paraId="78898E88" w14:textId="77777777" w:rsidR="006B057C" w:rsidRDefault="006B057C" w:rsidP="006B057C">
      <w:r>
        <w:rPr>
          <w:rFonts w:hint="eastAsia"/>
        </w:rPr>
        <w:t>第五节</w:t>
      </w:r>
      <w:r>
        <w:t xml:space="preserve"> E企业</w:t>
      </w:r>
    </w:p>
    <w:p w14:paraId="502DF68F" w14:textId="77777777" w:rsidR="006B057C" w:rsidRDefault="006B057C" w:rsidP="006B057C">
      <w:r>
        <w:rPr>
          <w:rFonts w:hint="eastAsia"/>
        </w:rPr>
        <w:t>一、企业发展基本情况</w:t>
      </w:r>
    </w:p>
    <w:p w14:paraId="0E58AF3C" w14:textId="77777777" w:rsidR="006B057C" w:rsidRDefault="006B057C" w:rsidP="006B057C">
      <w:r>
        <w:rPr>
          <w:rFonts w:hint="eastAsia"/>
        </w:rPr>
        <w:t>二、企业经营状况分析</w:t>
      </w:r>
    </w:p>
    <w:p w14:paraId="7B4737C2" w14:textId="77777777" w:rsidR="006B057C" w:rsidRDefault="006B057C" w:rsidP="006B057C">
      <w:r>
        <w:rPr>
          <w:rFonts w:hint="eastAsia"/>
        </w:rPr>
        <w:t>三、常温乳酸菌饮品产销数据分析</w:t>
      </w:r>
    </w:p>
    <w:p w14:paraId="7632F8B2" w14:textId="77777777" w:rsidR="006B057C" w:rsidRDefault="006B057C" w:rsidP="006B057C">
      <w:r>
        <w:rPr>
          <w:rFonts w:hint="eastAsia"/>
        </w:rPr>
        <w:t>四、企业核心竞争力分析</w:t>
      </w:r>
    </w:p>
    <w:p w14:paraId="1C7BC22C" w14:textId="77777777" w:rsidR="006B057C" w:rsidRDefault="006B057C" w:rsidP="006B057C"/>
    <w:p w14:paraId="52D4CF0D" w14:textId="77777777" w:rsidR="006B057C" w:rsidRPr="006B057C" w:rsidRDefault="006B057C" w:rsidP="006B057C">
      <w:pPr>
        <w:rPr>
          <w:b/>
          <w:bCs/>
        </w:rPr>
      </w:pPr>
      <w:r w:rsidRPr="006B057C">
        <w:rPr>
          <w:rFonts w:hint="eastAsia"/>
          <w:b/>
          <w:bCs/>
        </w:rPr>
        <w:t>第十章上下游供应链分析及研究</w:t>
      </w:r>
    </w:p>
    <w:p w14:paraId="491800FC" w14:textId="77777777" w:rsidR="006B057C" w:rsidRDefault="006B057C" w:rsidP="006B057C">
      <w:r>
        <w:rPr>
          <w:rFonts w:hint="eastAsia"/>
        </w:rPr>
        <w:t>第一节</w:t>
      </w:r>
      <w:r>
        <w:t xml:space="preserve"> 2015-2019年常温乳酸菌饮品行业上游原料价格分析</w:t>
      </w:r>
    </w:p>
    <w:p w14:paraId="38EAA687" w14:textId="77777777" w:rsidR="006B057C" w:rsidRDefault="006B057C" w:rsidP="006B057C">
      <w:r>
        <w:rPr>
          <w:rFonts w:hint="eastAsia"/>
        </w:rPr>
        <w:t>第二节</w:t>
      </w:r>
      <w:r>
        <w:t xml:space="preserve"> 2015-2019年常温乳酸菌饮品行业下游应用分析</w:t>
      </w:r>
    </w:p>
    <w:p w14:paraId="1D0360DD" w14:textId="77777777" w:rsidR="006B057C" w:rsidRDefault="006B057C" w:rsidP="006B057C">
      <w:r>
        <w:rPr>
          <w:rFonts w:hint="eastAsia"/>
        </w:rPr>
        <w:t>第三节</w:t>
      </w:r>
      <w:r>
        <w:t xml:space="preserve"> 常温乳酸菌饮品原料主要供货商分析</w:t>
      </w:r>
    </w:p>
    <w:p w14:paraId="25A7AD44" w14:textId="77777777" w:rsidR="006B057C" w:rsidRDefault="006B057C" w:rsidP="006B057C">
      <w:r>
        <w:rPr>
          <w:rFonts w:hint="eastAsia"/>
        </w:rPr>
        <w:t>第四节</w:t>
      </w:r>
      <w:r>
        <w:t xml:space="preserve"> 常温乳酸菌饮品下游主要客户分析</w:t>
      </w:r>
    </w:p>
    <w:p w14:paraId="2CAEDF46" w14:textId="77777777" w:rsidR="006B057C" w:rsidRDefault="006B057C" w:rsidP="006B057C"/>
    <w:p w14:paraId="4BB8448A" w14:textId="77777777" w:rsidR="006B057C" w:rsidRPr="006B057C" w:rsidRDefault="006B057C" w:rsidP="006B057C">
      <w:pPr>
        <w:rPr>
          <w:b/>
          <w:bCs/>
        </w:rPr>
      </w:pPr>
      <w:r w:rsidRPr="006B057C">
        <w:rPr>
          <w:rFonts w:hint="eastAsia"/>
          <w:b/>
          <w:bCs/>
        </w:rPr>
        <w:t>第十一章</w:t>
      </w:r>
      <w:r w:rsidRPr="006B057C">
        <w:rPr>
          <w:b/>
          <w:bCs/>
        </w:rPr>
        <w:t xml:space="preserve"> 行业渠道与消费者分析</w:t>
      </w:r>
    </w:p>
    <w:p w14:paraId="772A403D" w14:textId="77777777" w:rsidR="006B057C" w:rsidRDefault="006B057C" w:rsidP="006B057C">
      <w:r>
        <w:rPr>
          <w:rFonts w:hint="eastAsia"/>
        </w:rPr>
        <w:t>第一节</w:t>
      </w:r>
      <w:r>
        <w:t xml:space="preserve"> 常温乳酸菌饮品行业营销渠道分析</w:t>
      </w:r>
    </w:p>
    <w:p w14:paraId="2AEF69C2" w14:textId="77777777" w:rsidR="006B057C" w:rsidRDefault="006B057C" w:rsidP="006B057C">
      <w:r>
        <w:rPr>
          <w:rFonts w:hint="eastAsia"/>
        </w:rPr>
        <w:t>一、传统渠道</w:t>
      </w:r>
    </w:p>
    <w:p w14:paraId="3DB90C39" w14:textId="77777777" w:rsidR="006B057C" w:rsidRDefault="006B057C" w:rsidP="006B057C">
      <w:r>
        <w:rPr>
          <w:rFonts w:hint="eastAsia"/>
        </w:rPr>
        <w:t>二、网络渠道</w:t>
      </w:r>
    </w:p>
    <w:p w14:paraId="7F16AAE3" w14:textId="77777777" w:rsidR="006B057C" w:rsidRDefault="006B057C" w:rsidP="006B057C">
      <w:r>
        <w:rPr>
          <w:rFonts w:hint="eastAsia"/>
        </w:rPr>
        <w:t>三、各类渠道对常温乳酸菌饮品行业的影响</w:t>
      </w:r>
    </w:p>
    <w:p w14:paraId="23A6D1E9" w14:textId="77777777" w:rsidR="006B057C" w:rsidRDefault="006B057C" w:rsidP="006B057C">
      <w:r>
        <w:rPr>
          <w:rFonts w:hint="eastAsia"/>
        </w:rPr>
        <w:t>四、主要常温乳酸菌饮品企业渠道策略研究</w:t>
      </w:r>
    </w:p>
    <w:p w14:paraId="51CF8C78" w14:textId="77777777" w:rsidR="006B057C" w:rsidRDefault="006B057C" w:rsidP="006B057C">
      <w:r>
        <w:rPr>
          <w:rFonts w:hint="eastAsia"/>
        </w:rPr>
        <w:t>第二节</w:t>
      </w:r>
      <w:r>
        <w:t xml:space="preserve"> 常温乳酸菌饮品行业主要客户群分析</w:t>
      </w:r>
    </w:p>
    <w:p w14:paraId="224CB39C" w14:textId="77777777" w:rsidR="006B057C" w:rsidRDefault="006B057C" w:rsidP="006B057C">
      <w:r>
        <w:rPr>
          <w:rFonts w:hint="eastAsia"/>
        </w:rPr>
        <w:t>一、客户群需求特点</w:t>
      </w:r>
    </w:p>
    <w:p w14:paraId="73931D3E" w14:textId="77777777" w:rsidR="006B057C" w:rsidRDefault="006B057C" w:rsidP="006B057C">
      <w:r>
        <w:rPr>
          <w:rFonts w:hint="eastAsia"/>
        </w:rPr>
        <w:t>二、客户群结构</w:t>
      </w:r>
    </w:p>
    <w:p w14:paraId="6DD5CEDA" w14:textId="77777777" w:rsidR="006B057C" w:rsidRDefault="006B057C" w:rsidP="006B057C">
      <w:r>
        <w:rPr>
          <w:rFonts w:hint="eastAsia"/>
        </w:rPr>
        <w:t>三、客户群需求趋势</w:t>
      </w:r>
    </w:p>
    <w:p w14:paraId="3E6D80CC" w14:textId="77777777" w:rsidR="006B057C" w:rsidRDefault="006B057C" w:rsidP="006B057C"/>
    <w:p w14:paraId="09F2F8D7" w14:textId="77777777" w:rsidR="006B057C" w:rsidRPr="006B057C" w:rsidRDefault="006B057C" w:rsidP="006B057C">
      <w:pPr>
        <w:rPr>
          <w:b/>
          <w:bCs/>
        </w:rPr>
      </w:pPr>
      <w:r w:rsidRPr="006B057C">
        <w:rPr>
          <w:rFonts w:hint="eastAsia"/>
          <w:b/>
          <w:bCs/>
        </w:rPr>
        <w:t>第十二章</w:t>
      </w:r>
      <w:r w:rsidRPr="006B057C">
        <w:rPr>
          <w:b/>
          <w:bCs/>
        </w:rPr>
        <w:t xml:space="preserve"> 市场替代品互补产品分析</w:t>
      </w:r>
    </w:p>
    <w:p w14:paraId="494104B4" w14:textId="77777777" w:rsidR="006B057C" w:rsidRDefault="006B057C" w:rsidP="006B057C">
      <w:r>
        <w:rPr>
          <w:rFonts w:hint="eastAsia"/>
        </w:rPr>
        <w:lastRenderedPageBreak/>
        <w:t>第一节</w:t>
      </w:r>
      <w:r>
        <w:t xml:space="preserve"> 产品替代品分析</w:t>
      </w:r>
    </w:p>
    <w:p w14:paraId="5E5E5ADC" w14:textId="77777777" w:rsidR="006B057C" w:rsidRDefault="006B057C" w:rsidP="006B057C">
      <w:r>
        <w:rPr>
          <w:rFonts w:hint="eastAsia"/>
        </w:rPr>
        <w:t>一、替代品发展现状</w:t>
      </w:r>
    </w:p>
    <w:p w14:paraId="64D09238" w14:textId="77777777" w:rsidR="006B057C" w:rsidRDefault="006B057C" w:rsidP="006B057C">
      <w:r>
        <w:rPr>
          <w:rFonts w:hint="eastAsia"/>
        </w:rPr>
        <w:t>二、替代品对常温乳酸菌饮品行业的影响</w:t>
      </w:r>
    </w:p>
    <w:p w14:paraId="3086688E" w14:textId="77777777" w:rsidR="006B057C" w:rsidRDefault="006B057C" w:rsidP="006B057C">
      <w:r>
        <w:rPr>
          <w:rFonts w:hint="eastAsia"/>
        </w:rPr>
        <w:t>三、替代品发展趋势</w:t>
      </w:r>
    </w:p>
    <w:p w14:paraId="2F65CCE1" w14:textId="77777777" w:rsidR="006B057C" w:rsidRDefault="006B057C" w:rsidP="006B057C">
      <w:r>
        <w:rPr>
          <w:rFonts w:hint="eastAsia"/>
        </w:rPr>
        <w:t>第二节</w:t>
      </w:r>
      <w:r>
        <w:t xml:space="preserve"> 产品互补品分析</w:t>
      </w:r>
    </w:p>
    <w:p w14:paraId="6F719D8A" w14:textId="77777777" w:rsidR="006B057C" w:rsidRDefault="006B057C" w:rsidP="006B057C">
      <w:r>
        <w:rPr>
          <w:rFonts w:hint="eastAsia"/>
        </w:rPr>
        <w:t>一、互补品发展现状</w:t>
      </w:r>
    </w:p>
    <w:p w14:paraId="74B5B41C" w14:textId="77777777" w:rsidR="006B057C" w:rsidRDefault="006B057C" w:rsidP="006B057C">
      <w:r>
        <w:rPr>
          <w:rFonts w:hint="eastAsia"/>
        </w:rPr>
        <w:t>二、互补品对常温乳酸菌饮品行业的影响</w:t>
      </w:r>
    </w:p>
    <w:p w14:paraId="79CB9579" w14:textId="77777777" w:rsidR="006B057C" w:rsidRDefault="006B057C" w:rsidP="006B057C">
      <w:r>
        <w:rPr>
          <w:rFonts w:hint="eastAsia"/>
        </w:rPr>
        <w:t>三、互补品发展趋势</w:t>
      </w:r>
    </w:p>
    <w:p w14:paraId="1232342D" w14:textId="77777777" w:rsidR="006B057C" w:rsidRDefault="006B057C" w:rsidP="006B057C"/>
    <w:p w14:paraId="2B086782" w14:textId="77777777" w:rsidR="006B057C" w:rsidRPr="006B057C" w:rsidRDefault="006B057C" w:rsidP="006B057C">
      <w:pPr>
        <w:rPr>
          <w:b/>
          <w:bCs/>
        </w:rPr>
      </w:pPr>
      <w:r w:rsidRPr="006B057C">
        <w:rPr>
          <w:rFonts w:hint="eastAsia"/>
          <w:b/>
          <w:bCs/>
        </w:rPr>
        <w:t>第十三章</w:t>
      </w:r>
      <w:r w:rsidRPr="006B057C">
        <w:rPr>
          <w:b/>
          <w:bCs/>
        </w:rPr>
        <w:t xml:space="preserve"> 2020-2026年常温乳酸菌饮品市场发展分析预测</w:t>
      </w:r>
    </w:p>
    <w:p w14:paraId="7C77B2CD" w14:textId="77777777" w:rsidR="006B057C" w:rsidRDefault="006B057C" w:rsidP="006B057C">
      <w:r>
        <w:rPr>
          <w:rFonts w:hint="eastAsia"/>
        </w:rPr>
        <w:t>第一节</w:t>
      </w:r>
      <w:r>
        <w:t xml:space="preserve"> 2020-2026年中国常温乳酸菌饮品市场规模预测</w:t>
      </w:r>
    </w:p>
    <w:p w14:paraId="171354BE" w14:textId="77777777" w:rsidR="006B057C" w:rsidRDefault="006B057C" w:rsidP="006B057C">
      <w:r>
        <w:rPr>
          <w:rFonts w:hint="eastAsia"/>
        </w:rPr>
        <w:t>第二节</w:t>
      </w:r>
      <w:r>
        <w:t xml:space="preserve"> 2020-2026年中国常温乳酸菌饮品行业产能预测</w:t>
      </w:r>
    </w:p>
    <w:p w14:paraId="5BA6B0A6" w14:textId="77777777" w:rsidR="006B057C" w:rsidRDefault="006B057C" w:rsidP="006B057C">
      <w:r>
        <w:rPr>
          <w:rFonts w:hint="eastAsia"/>
        </w:rPr>
        <w:t>第三节</w:t>
      </w:r>
      <w:r>
        <w:t xml:space="preserve"> 2020-2026年中国常温乳酸菌饮品产品供给量预测</w:t>
      </w:r>
    </w:p>
    <w:p w14:paraId="24D3AFEA" w14:textId="77777777" w:rsidR="006B057C" w:rsidRDefault="006B057C" w:rsidP="006B057C">
      <w:r>
        <w:rPr>
          <w:rFonts w:hint="eastAsia"/>
        </w:rPr>
        <w:t>第四节</w:t>
      </w:r>
      <w:r>
        <w:t xml:space="preserve"> 2020-2026年中国常温乳酸菌饮品产品价格预测</w:t>
      </w:r>
    </w:p>
    <w:p w14:paraId="68107527" w14:textId="77777777" w:rsidR="006B057C" w:rsidRDefault="006B057C" w:rsidP="006B057C">
      <w:r>
        <w:rPr>
          <w:rFonts w:hint="eastAsia"/>
        </w:rPr>
        <w:t>第五节</w:t>
      </w:r>
      <w:r>
        <w:t xml:space="preserve"> 2020-2026年中国常温乳酸菌饮品市场需求预测</w:t>
      </w:r>
    </w:p>
    <w:p w14:paraId="5A6B4E81" w14:textId="77777777" w:rsidR="006B057C" w:rsidRDefault="006B057C" w:rsidP="006B057C"/>
    <w:p w14:paraId="61AF95EF" w14:textId="77777777" w:rsidR="006B057C" w:rsidRPr="006B057C" w:rsidRDefault="006B057C" w:rsidP="006B057C">
      <w:pPr>
        <w:rPr>
          <w:b/>
          <w:bCs/>
        </w:rPr>
      </w:pPr>
      <w:r w:rsidRPr="006B057C">
        <w:rPr>
          <w:rFonts w:hint="eastAsia"/>
          <w:b/>
          <w:bCs/>
        </w:rPr>
        <w:t>第十四章</w:t>
      </w:r>
      <w:r w:rsidRPr="006B057C">
        <w:rPr>
          <w:b/>
          <w:bCs/>
        </w:rPr>
        <w:t xml:space="preserve"> 常温乳酸菌饮品市场风险提示</w:t>
      </w:r>
    </w:p>
    <w:p w14:paraId="2817E152" w14:textId="77777777" w:rsidR="006B057C" w:rsidRDefault="006B057C" w:rsidP="006B057C">
      <w:r>
        <w:rPr>
          <w:rFonts w:hint="eastAsia"/>
        </w:rPr>
        <w:t>第一节</w:t>
      </w:r>
      <w:r>
        <w:t xml:space="preserve"> 常温乳酸菌饮品市场环境风险</w:t>
      </w:r>
    </w:p>
    <w:p w14:paraId="372BC50E" w14:textId="77777777" w:rsidR="006B057C" w:rsidRDefault="006B057C" w:rsidP="006B057C">
      <w:r>
        <w:rPr>
          <w:rFonts w:hint="eastAsia"/>
        </w:rPr>
        <w:t>第二节</w:t>
      </w:r>
      <w:r>
        <w:t xml:space="preserve"> 常温乳酸菌饮品行业政策风险</w:t>
      </w:r>
    </w:p>
    <w:p w14:paraId="253381C1" w14:textId="77777777" w:rsidR="006B057C" w:rsidRDefault="006B057C" w:rsidP="006B057C">
      <w:r>
        <w:rPr>
          <w:rFonts w:hint="eastAsia"/>
        </w:rPr>
        <w:t>第三节</w:t>
      </w:r>
      <w:r>
        <w:t xml:space="preserve"> 常温乳酸菌饮品市场需求风险</w:t>
      </w:r>
    </w:p>
    <w:p w14:paraId="44059085" w14:textId="77777777" w:rsidR="006B057C" w:rsidRDefault="006B057C" w:rsidP="006B057C">
      <w:r>
        <w:rPr>
          <w:rFonts w:hint="eastAsia"/>
        </w:rPr>
        <w:t>第四节</w:t>
      </w:r>
      <w:r>
        <w:t xml:space="preserve"> 常温乳酸菌饮品市场其他风险</w:t>
      </w:r>
    </w:p>
    <w:p w14:paraId="24861C21" w14:textId="77777777" w:rsidR="006B057C" w:rsidRDefault="006B057C" w:rsidP="006B057C"/>
    <w:p w14:paraId="1B381BAC" w14:textId="47F1E159" w:rsidR="0089202E" w:rsidRPr="006B057C" w:rsidRDefault="006B057C" w:rsidP="006B057C">
      <w:pPr>
        <w:rPr>
          <w:b/>
          <w:bCs/>
        </w:rPr>
      </w:pPr>
      <w:r w:rsidRPr="006B057C">
        <w:rPr>
          <w:rFonts w:hint="eastAsia"/>
          <w:b/>
          <w:bCs/>
        </w:rPr>
        <w:t>第十五章</w:t>
      </w:r>
      <w:r w:rsidRPr="006B057C">
        <w:rPr>
          <w:b/>
          <w:bCs/>
        </w:rPr>
        <w:t xml:space="preserve"> 投资机会及投资策略建议</w:t>
      </w:r>
    </w:p>
    <w:sectPr w:rsidR="0089202E" w:rsidRPr="006B05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02E"/>
    <w:rsid w:val="00375DC0"/>
    <w:rsid w:val="006B057C"/>
    <w:rsid w:val="007D3413"/>
    <w:rsid w:val="0089202E"/>
    <w:rsid w:val="00D23799"/>
    <w:rsid w:val="00DB6C5C"/>
    <w:rsid w:val="00E37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FAC57"/>
  <w15:chartTrackingRefBased/>
  <w15:docId w15:val="{87FD31BE-6EDC-4DFC-9C83-F6D1E2A72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BAE0AC-4632-4EE3-8D75-26539414BE4A}" type="doc">
      <dgm:prSet loTypeId="urn:microsoft.com/office/officeart/2005/8/layout/hProcess9" loCatId="process" qsTypeId="urn:microsoft.com/office/officeart/2005/8/quickstyle/simple1" qsCatId="simple" csTypeId="urn:microsoft.com/office/officeart/2005/8/colors/colorful5" csCatId="colorful" phldr="1"/>
      <dgm:spPr/>
      <dgm:t>
        <a:bodyPr/>
        <a:lstStyle/>
        <a:p>
          <a:endParaRPr lang="zh-CN" altLang="en-US"/>
        </a:p>
      </dgm:t>
    </dgm:pt>
    <dgm:pt modelId="{6805A4B3-6B7D-4BEB-BB7B-390D865DE058}">
      <dgm:prSet phldrT="[文本]"/>
      <dgm:spPr>
        <a:gradFill flip="none" rotWithShape="0">
          <a:gsLst>
            <a:gs pos="0">
              <a:schemeClr val="accent5">
                <a:hueOff val="0"/>
                <a:satOff val="0"/>
                <a:lumOff val="0"/>
                <a:shade val="30000"/>
                <a:satMod val="115000"/>
              </a:schemeClr>
            </a:gs>
            <a:gs pos="50000">
              <a:schemeClr val="accent5">
                <a:hueOff val="0"/>
                <a:satOff val="0"/>
                <a:lumOff val="0"/>
                <a:shade val="67500"/>
                <a:satMod val="115000"/>
              </a:schemeClr>
            </a:gs>
            <a:gs pos="100000">
              <a:schemeClr val="accent5">
                <a:hueOff val="0"/>
                <a:satOff val="0"/>
                <a:lumOff val="0"/>
                <a:shade val="100000"/>
                <a:satMod val="115000"/>
              </a:schemeClr>
            </a:gs>
          </a:gsLst>
          <a:lin ang="2700000" scaled="1"/>
          <a:tileRect/>
        </a:gradFill>
      </dgm:spPr>
      <dgm:t>
        <a:bodyPr/>
        <a:lstStyle/>
        <a:p>
          <a:r>
            <a:rPr lang="zh-CN" altLang="en-US"/>
            <a:t>上游原料</a:t>
          </a:r>
        </a:p>
      </dgm:t>
    </dgm:pt>
    <dgm:pt modelId="{9BCFC4FF-BEC9-460B-B525-0535A4BB8726}" type="parTrans" cxnId="{45A8828F-8312-464E-A346-C7309D21BD9D}">
      <dgm:prSet/>
      <dgm:spPr/>
      <dgm:t>
        <a:bodyPr/>
        <a:lstStyle/>
        <a:p>
          <a:endParaRPr lang="zh-CN" altLang="en-US"/>
        </a:p>
      </dgm:t>
    </dgm:pt>
    <dgm:pt modelId="{BF82205C-15AC-4A27-A861-3FC6D98EAFE5}" type="sibTrans" cxnId="{45A8828F-8312-464E-A346-C7309D21BD9D}">
      <dgm:prSet/>
      <dgm:spPr/>
      <dgm:t>
        <a:bodyPr/>
        <a:lstStyle/>
        <a:p>
          <a:endParaRPr lang="zh-CN" altLang="en-US"/>
        </a:p>
      </dgm:t>
    </dgm:pt>
    <dgm:pt modelId="{453D7754-F6A1-43CD-B332-2CF95B210DBE}">
      <dgm:prSet phldrT="[文本]"/>
      <dgm:spPr>
        <a:gradFill flip="none" rotWithShape="0">
          <a:gsLst>
            <a:gs pos="0">
              <a:schemeClr val="accent5">
                <a:hueOff val="0"/>
                <a:satOff val="0"/>
                <a:lumOff val="0"/>
                <a:shade val="30000"/>
                <a:satMod val="115000"/>
              </a:schemeClr>
            </a:gs>
            <a:gs pos="50000">
              <a:schemeClr val="accent5">
                <a:hueOff val="0"/>
                <a:satOff val="0"/>
                <a:lumOff val="0"/>
                <a:shade val="67500"/>
                <a:satMod val="115000"/>
              </a:schemeClr>
            </a:gs>
            <a:gs pos="100000">
              <a:schemeClr val="accent5">
                <a:hueOff val="0"/>
                <a:satOff val="0"/>
                <a:lumOff val="0"/>
                <a:shade val="100000"/>
                <a:satMod val="115000"/>
              </a:schemeClr>
            </a:gs>
          </a:gsLst>
          <a:lin ang="2700000" scaled="1"/>
          <a:tileRect/>
        </a:gradFill>
      </dgm:spPr>
      <dgm:t>
        <a:bodyPr/>
        <a:lstStyle/>
        <a:p>
          <a:r>
            <a:rPr lang="zh-CN" altLang="en-US"/>
            <a:t>添加剂</a:t>
          </a:r>
        </a:p>
      </dgm:t>
    </dgm:pt>
    <dgm:pt modelId="{6B9E71A1-6EBC-4292-889A-EA2B636E005E}" type="parTrans" cxnId="{C7AD86BF-BF18-4E9E-8449-8EA89D94E96B}">
      <dgm:prSet/>
      <dgm:spPr/>
      <dgm:t>
        <a:bodyPr/>
        <a:lstStyle/>
        <a:p>
          <a:endParaRPr lang="zh-CN" altLang="en-US"/>
        </a:p>
      </dgm:t>
    </dgm:pt>
    <dgm:pt modelId="{F7A4F75F-498D-4E26-8102-E00CCAA710BD}" type="sibTrans" cxnId="{C7AD86BF-BF18-4E9E-8449-8EA89D94E96B}">
      <dgm:prSet/>
      <dgm:spPr/>
      <dgm:t>
        <a:bodyPr/>
        <a:lstStyle/>
        <a:p>
          <a:endParaRPr lang="zh-CN" altLang="en-US"/>
        </a:p>
      </dgm:t>
    </dgm:pt>
    <dgm:pt modelId="{F31E8890-3084-481D-912C-C42333581437}">
      <dgm:prSet phldrT="[文本]"/>
      <dgm:spPr>
        <a:gradFill flip="none" rotWithShape="0">
          <a:gsLst>
            <a:gs pos="0">
              <a:schemeClr val="accent5">
                <a:hueOff val="0"/>
                <a:satOff val="0"/>
                <a:lumOff val="0"/>
                <a:shade val="30000"/>
                <a:satMod val="115000"/>
              </a:schemeClr>
            </a:gs>
            <a:gs pos="50000">
              <a:schemeClr val="accent5">
                <a:hueOff val="0"/>
                <a:satOff val="0"/>
                <a:lumOff val="0"/>
                <a:shade val="67500"/>
                <a:satMod val="115000"/>
              </a:schemeClr>
            </a:gs>
            <a:gs pos="100000">
              <a:schemeClr val="accent5">
                <a:hueOff val="0"/>
                <a:satOff val="0"/>
                <a:lumOff val="0"/>
                <a:shade val="100000"/>
                <a:satMod val="115000"/>
              </a:schemeClr>
            </a:gs>
          </a:gsLst>
          <a:lin ang="2700000" scaled="1"/>
          <a:tileRect/>
        </a:gradFill>
      </dgm:spPr>
      <dgm:t>
        <a:bodyPr/>
        <a:lstStyle/>
        <a:p>
          <a:r>
            <a:rPr lang="zh-CN" altLang="en-US"/>
            <a:t>包装材料等</a:t>
          </a:r>
        </a:p>
      </dgm:t>
    </dgm:pt>
    <dgm:pt modelId="{48E816E3-31F9-40B2-9DCC-8873B78A655C}" type="parTrans" cxnId="{392820E5-EA11-47CF-81FB-73EF1D26ADB6}">
      <dgm:prSet/>
      <dgm:spPr/>
      <dgm:t>
        <a:bodyPr/>
        <a:lstStyle/>
        <a:p>
          <a:endParaRPr lang="zh-CN" altLang="en-US"/>
        </a:p>
      </dgm:t>
    </dgm:pt>
    <dgm:pt modelId="{EB6A86CC-C3D3-4087-B15C-7B1E7867CEB7}" type="sibTrans" cxnId="{392820E5-EA11-47CF-81FB-73EF1D26ADB6}">
      <dgm:prSet/>
      <dgm:spPr/>
      <dgm:t>
        <a:bodyPr/>
        <a:lstStyle/>
        <a:p>
          <a:endParaRPr lang="zh-CN" altLang="en-US"/>
        </a:p>
      </dgm:t>
    </dgm:pt>
    <dgm:pt modelId="{819ABF86-C3B6-4ED0-8443-5F81F78C1F9E}">
      <dgm:prSet phldrT="[文本]"/>
      <dgm:spPr>
        <a:gradFill flip="none" rotWithShape="0">
          <a:gsLst>
            <a:gs pos="0">
              <a:schemeClr val="accent5">
                <a:hueOff val="-3379271"/>
                <a:satOff val="-8710"/>
                <a:lumOff val="-5883"/>
                <a:shade val="30000"/>
                <a:satMod val="115000"/>
              </a:schemeClr>
            </a:gs>
            <a:gs pos="50000">
              <a:schemeClr val="accent5">
                <a:hueOff val="-3379271"/>
                <a:satOff val="-8710"/>
                <a:lumOff val="-5883"/>
                <a:shade val="67500"/>
                <a:satMod val="115000"/>
              </a:schemeClr>
            </a:gs>
            <a:gs pos="100000">
              <a:schemeClr val="accent5">
                <a:hueOff val="-3379271"/>
                <a:satOff val="-8710"/>
                <a:lumOff val="-5883"/>
                <a:shade val="100000"/>
                <a:satMod val="115000"/>
              </a:schemeClr>
            </a:gs>
          </a:gsLst>
          <a:lin ang="2700000" scaled="1"/>
          <a:tileRect/>
        </a:gradFill>
      </dgm:spPr>
      <dgm:t>
        <a:bodyPr/>
        <a:lstStyle/>
        <a:p>
          <a:r>
            <a:rPr lang="zh-CN" altLang="en-US"/>
            <a:t>本行业</a:t>
          </a:r>
        </a:p>
      </dgm:t>
    </dgm:pt>
    <dgm:pt modelId="{C8768A23-991B-477A-9786-1409AC11ED8E}" type="parTrans" cxnId="{B922DDFD-5AF9-4ABB-8694-841AF84581C5}">
      <dgm:prSet/>
      <dgm:spPr/>
      <dgm:t>
        <a:bodyPr/>
        <a:lstStyle/>
        <a:p>
          <a:endParaRPr lang="zh-CN" altLang="en-US"/>
        </a:p>
      </dgm:t>
    </dgm:pt>
    <dgm:pt modelId="{5DC08FE8-A98C-4843-A658-66987FD5A57A}" type="sibTrans" cxnId="{B922DDFD-5AF9-4ABB-8694-841AF84581C5}">
      <dgm:prSet/>
      <dgm:spPr/>
      <dgm:t>
        <a:bodyPr/>
        <a:lstStyle/>
        <a:p>
          <a:endParaRPr lang="zh-CN" altLang="en-US"/>
        </a:p>
      </dgm:t>
    </dgm:pt>
    <dgm:pt modelId="{125A8240-23CE-446F-AA26-52EFD9374C42}">
      <dgm:prSet phldrT="[文本]"/>
      <dgm:spPr>
        <a:gradFill flip="none" rotWithShape="0">
          <a:gsLst>
            <a:gs pos="0">
              <a:schemeClr val="accent5">
                <a:hueOff val="-3379271"/>
                <a:satOff val="-8710"/>
                <a:lumOff val="-5883"/>
                <a:shade val="30000"/>
                <a:satMod val="115000"/>
              </a:schemeClr>
            </a:gs>
            <a:gs pos="50000">
              <a:schemeClr val="accent5">
                <a:hueOff val="-3379271"/>
                <a:satOff val="-8710"/>
                <a:lumOff val="-5883"/>
                <a:shade val="67500"/>
                <a:satMod val="115000"/>
              </a:schemeClr>
            </a:gs>
            <a:gs pos="100000">
              <a:schemeClr val="accent5">
                <a:hueOff val="-3379271"/>
                <a:satOff val="-8710"/>
                <a:lumOff val="-5883"/>
                <a:shade val="100000"/>
                <a:satMod val="115000"/>
              </a:schemeClr>
            </a:gs>
          </a:gsLst>
          <a:lin ang="2700000" scaled="1"/>
          <a:tileRect/>
        </a:gradFill>
      </dgm:spPr>
      <dgm:t>
        <a:bodyPr/>
        <a:lstStyle/>
        <a:p>
          <a:r>
            <a:rPr lang="zh-CN" altLang="en-US"/>
            <a:t>乳酸菌饮品</a:t>
          </a:r>
        </a:p>
      </dgm:t>
    </dgm:pt>
    <dgm:pt modelId="{063D34BB-4FD7-4A55-981E-E7FCB3B9D5B4}" type="parTrans" cxnId="{EEE4E5FB-4B04-4E57-BB6A-2004DC3AE37D}">
      <dgm:prSet/>
      <dgm:spPr/>
      <dgm:t>
        <a:bodyPr/>
        <a:lstStyle/>
        <a:p>
          <a:endParaRPr lang="zh-CN" altLang="en-US"/>
        </a:p>
      </dgm:t>
    </dgm:pt>
    <dgm:pt modelId="{55093139-1B1D-4AE2-BA18-F1F114F8E3DD}" type="sibTrans" cxnId="{EEE4E5FB-4B04-4E57-BB6A-2004DC3AE37D}">
      <dgm:prSet/>
      <dgm:spPr/>
      <dgm:t>
        <a:bodyPr/>
        <a:lstStyle/>
        <a:p>
          <a:endParaRPr lang="zh-CN" altLang="en-US"/>
        </a:p>
      </dgm:t>
    </dgm:pt>
    <dgm:pt modelId="{16DB219C-68F0-4DF3-ABCE-1927344190CD}">
      <dgm:prSet phldrT="[文本]"/>
      <dgm:spPr>
        <a:gradFill flip="none" rotWithShape="0">
          <a:gsLst>
            <a:gs pos="0">
              <a:schemeClr val="accent5">
                <a:hueOff val="-6758543"/>
                <a:satOff val="-17419"/>
                <a:lumOff val="-11765"/>
                <a:shade val="30000"/>
                <a:satMod val="115000"/>
              </a:schemeClr>
            </a:gs>
            <a:gs pos="50000">
              <a:schemeClr val="accent5">
                <a:hueOff val="-6758543"/>
                <a:satOff val="-17419"/>
                <a:lumOff val="-11765"/>
                <a:shade val="67500"/>
                <a:satMod val="115000"/>
              </a:schemeClr>
            </a:gs>
            <a:gs pos="100000">
              <a:schemeClr val="accent5">
                <a:hueOff val="-6758543"/>
                <a:satOff val="-17419"/>
                <a:lumOff val="-11765"/>
                <a:shade val="100000"/>
                <a:satMod val="115000"/>
              </a:schemeClr>
            </a:gs>
          </a:gsLst>
          <a:lin ang="2700000" scaled="1"/>
          <a:tileRect/>
        </a:gradFill>
      </dgm:spPr>
      <dgm:t>
        <a:bodyPr/>
        <a:lstStyle/>
        <a:p>
          <a:r>
            <a:rPr lang="zh-CN" altLang="en-US"/>
            <a:t>下游应用</a:t>
          </a:r>
        </a:p>
      </dgm:t>
    </dgm:pt>
    <dgm:pt modelId="{CAB5D5E3-6347-4C92-A05F-C0D5288A8F35}" type="parTrans" cxnId="{D168F431-E1AD-493D-8B6C-F90D01038741}">
      <dgm:prSet/>
      <dgm:spPr/>
      <dgm:t>
        <a:bodyPr/>
        <a:lstStyle/>
        <a:p>
          <a:endParaRPr lang="zh-CN" altLang="en-US"/>
        </a:p>
      </dgm:t>
    </dgm:pt>
    <dgm:pt modelId="{CB1CDD51-88A0-47A1-9836-7E362B766DBE}" type="sibTrans" cxnId="{D168F431-E1AD-493D-8B6C-F90D01038741}">
      <dgm:prSet/>
      <dgm:spPr/>
      <dgm:t>
        <a:bodyPr/>
        <a:lstStyle/>
        <a:p>
          <a:endParaRPr lang="zh-CN" altLang="en-US"/>
        </a:p>
      </dgm:t>
    </dgm:pt>
    <dgm:pt modelId="{CF08D726-3809-484A-8627-2C0D7DBAC080}">
      <dgm:prSet phldrT="[文本]"/>
      <dgm:spPr>
        <a:gradFill flip="none" rotWithShape="0">
          <a:gsLst>
            <a:gs pos="0">
              <a:schemeClr val="accent5">
                <a:hueOff val="-6758543"/>
                <a:satOff val="-17419"/>
                <a:lumOff val="-11765"/>
                <a:shade val="30000"/>
                <a:satMod val="115000"/>
              </a:schemeClr>
            </a:gs>
            <a:gs pos="50000">
              <a:schemeClr val="accent5">
                <a:hueOff val="-6758543"/>
                <a:satOff val="-17419"/>
                <a:lumOff val="-11765"/>
                <a:shade val="67500"/>
                <a:satMod val="115000"/>
              </a:schemeClr>
            </a:gs>
            <a:gs pos="100000">
              <a:schemeClr val="accent5">
                <a:hueOff val="-6758543"/>
                <a:satOff val="-17419"/>
                <a:lumOff val="-11765"/>
                <a:shade val="100000"/>
                <a:satMod val="115000"/>
              </a:schemeClr>
            </a:gs>
          </a:gsLst>
          <a:lin ang="2700000" scaled="1"/>
          <a:tileRect/>
        </a:gradFill>
      </dgm:spPr>
      <dgm:t>
        <a:bodyPr/>
        <a:lstStyle/>
        <a:p>
          <a:r>
            <a:rPr lang="zh-CN" altLang="en-US"/>
            <a:t>商超</a:t>
          </a:r>
        </a:p>
      </dgm:t>
    </dgm:pt>
    <dgm:pt modelId="{40FA1207-6FBD-43E1-99F9-7EBBA83E8583}" type="parTrans" cxnId="{FAA4A5D0-6C52-4CA5-8DD5-0E69FEB67C29}">
      <dgm:prSet/>
      <dgm:spPr/>
      <dgm:t>
        <a:bodyPr/>
        <a:lstStyle/>
        <a:p>
          <a:endParaRPr lang="zh-CN" altLang="en-US"/>
        </a:p>
      </dgm:t>
    </dgm:pt>
    <dgm:pt modelId="{97D6259D-357C-4E79-A3AD-1F75D32A0381}" type="sibTrans" cxnId="{FAA4A5D0-6C52-4CA5-8DD5-0E69FEB67C29}">
      <dgm:prSet/>
      <dgm:spPr/>
      <dgm:t>
        <a:bodyPr/>
        <a:lstStyle/>
        <a:p>
          <a:endParaRPr lang="zh-CN" altLang="en-US"/>
        </a:p>
      </dgm:t>
    </dgm:pt>
    <dgm:pt modelId="{C9D990C6-5B77-4121-AEBA-B9A5ED8DDF94}">
      <dgm:prSet phldrT="[文本]"/>
      <dgm:spPr>
        <a:gradFill flip="none" rotWithShape="0">
          <a:gsLst>
            <a:gs pos="0">
              <a:schemeClr val="accent5">
                <a:hueOff val="-6758543"/>
                <a:satOff val="-17419"/>
                <a:lumOff val="-11765"/>
                <a:shade val="30000"/>
                <a:satMod val="115000"/>
              </a:schemeClr>
            </a:gs>
            <a:gs pos="50000">
              <a:schemeClr val="accent5">
                <a:hueOff val="-6758543"/>
                <a:satOff val="-17419"/>
                <a:lumOff val="-11765"/>
                <a:shade val="67500"/>
                <a:satMod val="115000"/>
              </a:schemeClr>
            </a:gs>
            <a:gs pos="100000">
              <a:schemeClr val="accent5">
                <a:hueOff val="-6758543"/>
                <a:satOff val="-17419"/>
                <a:lumOff val="-11765"/>
                <a:shade val="100000"/>
                <a:satMod val="115000"/>
              </a:schemeClr>
            </a:gs>
          </a:gsLst>
          <a:lin ang="2700000" scaled="1"/>
          <a:tileRect/>
        </a:gradFill>
      </dgm:spPr>
      <dgm:t>
        <a:bodyPr/>
        <a:lstStyle/>
        <a:p>
          <a:r>
            <a:rPr lang="zh-CN" altLang="en-US"/>
            <a:t>电商等</a:t>
          </a:r>
        </a:p>
      </dgm:t>
    </dgm:pt>
    <dgm:pt modelId="{841E4C88-1AE7-49A4-9CB0-3744FD426B74}" type="parTrans" cxnId="{51D0D964-4671-4C2A-B53B-7698188F2540}">
      <dgm:prSet/>
      <dgm:spPr/>
      <dgm:t>
        <a:bodyPr/>
        <a:lstStyle/>
        <a:p>
          <a:endParaRPr lang="zh-CN" altLang="en-US"/>
        </a:p>
      </dgm:t>
    </dgm:pt>
    <dgm:pt modelId="{24DFC727-0B3D-472C-8A92-87BB927FC30A}" type="sibTrans" cxnId="{51D0D964-4671-4C2A-B53B-7698188F2540}">
      <dgm:prSet/>
      <dgm:spPr/>
      <dgm:t>
        <a:bodyPr/>
        <a:lstStyle/>
        <a:p>
          <a:endParaRPr lang="zh-CN" altLang="en-US"/>
        </a:p>
      </dgm:t>
    </dgm:pt>
    <dgm:pt modelId="{E57072F6-DBC2-46D1-B421-065649D0C69F}">
      <dgm:prSet phldrT="[文本]"/>
      <dgm:spPr>
        <a:gradFill flip="none" rotWithShape="0">
          <a:gsLst>
            <a:gs pos="0">
              <a:schemeClr val="accent5">
                <a:hueOff val="0"/>
                <a:satOff val="0"/>
                <a:lumOff val="0"/>
                <a:shade val="30000"/>
                <a:satMod val="115000"/>
              </a:schemeClr>
            </a:gs>
            <a:gs pos="50000">
              <a:schemeClr val="accent5">
                <a:hueOff val="0"/>
                <a:satOff val="0"/>
                <a:lumOff val="0"/>
                <a:shade val="67500"/>
                <a:satMod val="115000"/>
              </a:schemeClr>
            </a:gs>
            <a:gs pos="100000">
              <a:schemeClr val="accent5">
                <a:hueOff val="0"/>
                <a:satOff val="0"/>
                <a:lumOff val="0"/>
                <a:shade val="100000"/>
                <a:satMod val="115000"/>
              </a:schemeClr>
            </a:gs>
          </a:gsLst>
          <a:lin ang="2700000" scaled="1"/>
          <a:tileRect/>
        </a:gradFill>
      </dgm:spPr>
      <dgm:t>
        <a:bodyPr/>
        <a:lstStyle/>
        <a:p>
          <a:r>
            <a:rPr lang="zh-CN" altLang="en-US"/>
            <a:t>乳制品</a:t>
          </a:r>
        </a:p>
      </dgm:t>
    </dgm:pt>
    <dgm:pt modelId="{9A3CDAA0-592B-468A-A06A-7BC85FD40336}" type="parTrans" cxnId="{A72FBAEA-8A54-426B-B292-9FD7673B254D}">
      <dgm:prSet/>
      <dgm:spPr/>
      <dgm:t>
        <a:bodyPr/>
        <a:lstStyle/>
        <a:p>
          <a:endParaRPr lang="zh-CN" altLang="en-US"/>
        </a:p>
      </dgm:t>
    </dgm:pt>
    <dgm:pt modelId="{A5163CA6-A9CB-4B0D-85D1-F5C7D24F412C}" type="sibTrans" cxnId="{A72FBAEA-8A54-426B-B292-9FD7673B254D}">
      <dgm:prSet/>
      <dgm:spPr/>
      <dgm:t>
        <a:bodyPr/>
        <a:lstStyle/>
        <a:p>
          <a:endParaRPr lang="zh-CN" altLang="en-US"/>
        </a:p>
      </dgm:t>
    </dgm:pt>
    <dgm:pt modelId="{6E6AC716-38BD-4122-BC55-930993CDD434}">
      <dgm:prSet phldrT="[文本]"/>
      <dgm:spPr>
        <a:gradFill flip="none" rotWithShape="0">
          <a:gsLst>
            <a:gs pos="0">
              <a:schemeClr val="accent5">
                <a:hueOff val="-6758543"/>
                <a:satOff val="-17419"/>
                <a:lumOff val="-11765"/>
                <a:shade val="30000"/>
                <a:satMod val="115000"/>
              </a:schemeClr>
            </a:gs>
            <a:gs pos="50000">
              <a:schemeClr val="accent5">
                <a:hueOff val="-6758543"/>
                <a:satOff val="-17419"/>
                <a:lumOff val="-11765"/>
                <a:shade val="67500"/>
                <a:satMod val="115000"/>
              </a:schemeClr>
            </a:gs>
            <a:gs pos="100000">
              <a:schemeClr val="accent5">
                <a:hueOff val="-6758543"/>
                <a:satOff val="-17419"/>
                <a:lumOff val="-11765"/>
                <a:shade val="100000"/>
                <a:satMod val="115000"/>
              </a:schemeClr>
            </a:gs>
          </a:gsLst>
          <a:lin ang="2700000" scaled="1"/>
          <a:tileRect/>
        </a:gradFill>
      </dgm:spPr>
      <dgm:t>
        <a:bodyPr/>
        <a:lstStyle/>
        <a:p>
          <a:r>
            <a:rPr lang="zh-CN" altLang="en-US"/>
            <a:t>便利店</a:t>
          </a:r>
        </a:p>
      </dgm:t>
    </dgm:pt>
    <dgm:pt modelId="{89848AEE-07CF-4022-B0F0-DC569747A022}" type="parTrans" cxnId="{FFD436AE-0700-4F6D-B6A1-DFEDCB3AD2D4}">
      <dgm:prSet/>
      <dgm:spPr/>
      <dgm:t>
        <a:bodyPr/>
        <a:lstStyle/>
        <a:p>
          <a:endParaRPr lang="zh-CN" altLang="en-US"/>
        </a:p>
      </dgm:t>
    </dgm:pt>
    <dgm:pt modelId="{D6499BF6-370D-4987-A18E-5D3BA620FBD4}" type="sibTrans" cxnId="{FFD436AE-0700-4F6D-B6A1-DFEDCB3AD2D4}">
      <dgm:prSet/>
      <dgm:spPr/>
      <dgm:t>
        <a:bodyPr/>
        <a:lstStyle/>
        <a:p>
          <a:endParaRPr lang="zh-CN" altLang="en-US"/>
        </a:p>
      </dgm:t>
    </dgm:pt>
    <dgm:pt modelId="{B4DF7FE5-8FF8-4FE7-99B1-16B37CD9F8F0}">
      <dgm:prSet phldrT="[文本]"/>
      <dgm:spPr>
        <a:gradFill flip="none" rotWithShape="0">
          <a:gsLst>
            <a:gs pos="0">
              <a:schemeClr val="accent5">
                <a:hueOff val="-6758543"/>
                <a:satOff val="-17419"/>
                <a:lumOff val="-11765"/>
                <a:shade val="30000"/>
                <a:satMod val="115000"/>
              </a:schemeClr>
            </a:gs>
            <a:gs pos="50000">
              <a:schemeClr val="accent5">
                <a:hueOff val="-6758543"/>
                <a:satOff val="-17419"/>
                <a:lumOff val="-11765"/>
                <a:shade val="67500"/>
                <a:satMod val="115000"/>
              </a:schemeClr>
            </a:gs>
            <a:gs pos="100000">
              <a:schemeClr val="accent5">
                <a:hueOff val="-6758543"/>
                <a:satOff val="-17419"/>
                <a:lumOff val="-11765"/>
                <a:shade val="100000"/>
                <a:satMod val="115000"/>
              </a:schemeClr>
            </a:gs>
          </a:gsLst>
          <a:lin ang="2700000" scaled="1"/>
          <a:tileRect/>
        </a:gradFill>
      </dgm:spPr>
      <dgm:t>
        <a:bodyPr/>
        <a:lstStyle/>
        <a:p>
          <a:r>
            <a:rPr lang="zh-CN" altLang="en-US"/>
            <a:t>大卖场</a:t>
          </a:r>
        </a:p>
      </dgm:t>
    </dgm:pt>
    <dgm:pt modelId="{DDCA9AE8-7CEC-4191-A140-63EB0F38358B}" type="parTrans" cxnId="{5C0D0DB4-D38E-4713-9DE5-4A08B376F190}">
      <dgm:prSet/>
      <dgm:spPr/>
      <dgm:t>
        <a:bodyPr/>
        <a:lstStyle/>
        <a:p>
          <a:endParaRPr lang="zh-CN" altLang="en-US"/>
        </a:p>
      </dgm:t>
    </dgm:pt>
    <dgm:pt modelId="{8251973A-BBBE-4F16-963D-15F5BC8911E2}" type="sibTrans" cxnId="{5C0D0DB4-D38E-4713-9DE5-4A08B376F190}">
      <dgm:prSet/>
      <dgm:spPr/>
      <dgm:t>
        <a:bodyPr/>
        <a:lstStyle/>
        <a:p>
          <a:endParaRPr lang="zh-CN" altLang="en-US"/>
        </a:p>
      </dgm:t>
    </dgm:pt>
    <dgm:pt modelId="{6CD01925-020F-4157-A51F-028F8556E8EF}" type="pres">
      <dgm:prSet presAssocID="{D6BAE0AC-4632-4EE3-8D75-26539414BE4A}" presName="CompostProcess" presStyleCnt="0">
        <dgm:presLayoutVars>
          <dgm:dir/>
          <dgm:resizeHandles val="exact"/>
        </dgm:presLayoutVars>
      </dgm:prSet>
      <dgm:spPr/>
    </dgm:pt>
    <dgm:pt modelId="{97BD54A5-E784-41F6-8BE9-3BF0B29EDC1C}" type="pres">
      <dgm:prSet presAssocID="{D6BAE0AC-4632-4EE3-8D75-26539414BE4A}" presName="arrow" presStyleLbl="bgShp" presStyleIdx="0" presStyleCnt="1"/>
      <dgm:spPr>
        <a:gradFill flip="none" rotWithShape="1">
          <a:gsLst>
            <a:gs pos="0">
              <a:schemeClr val="accent5">
                <a:tint val="40000"/>
                <a:hueOff val="0"/>
                <a:satOff val="0"/>
                <a:lumOff val="0"/>
                <a:shade val="30000"/>
                <a:satMod val="115000"/>
              </a:schemeClr>
            </a:gs>
            <a:gs pos="50000">
              <a:schemeClr val="accent5">
                <a:tint val="40000"/>
                <a:hueOff val="0"/>
                <a:satOff val="0"/>
                <a:lumOff val="0"/>
                <a:shade val="67500"/>
                <a:satMod val="115000"/>
              </a:schemeClr>
            </a:gs>
            <a:gs pos="100000">
              <a:schemeClr val="accent5">
                <a:tint val="40000"/>
                <a:hueOff val="0"/>
                <a:satOff val="0"/>
                <a:lumOff val="0"/>
                <a:shade val="100000"/>
                <a:satMod val="115000"/>
              </a:schemeClr>
            </a:gs>
          </a:gsLst>
          <a:path path="circle">
            <a:fillToRect l="50000" t="50000" r="50000" b="50000"/>
          </a:path>
          <a:tileRect/>
        </a:gradFill>
      </dgm:spPr>
    </dgm:pt>
    <dgm:pt modelId="{BE90F0FF-C953-4378-94A2-0761280450D2}" type="pres">
      <dgm:prSet presAssocID="{D6BAE0AC-4632-4EE3-8D75-26539414BE4A}" presName="linearProcess" presStyleCnt="0"/>
      <dgm:spPr/>
    </dgm:pt>
    <dgm:pt modelId="{2C5DD9A1-4DAE-43B1-BB0E-DC66453D0FF4}" type="pres">
      <dgm:prSet presAssocID="{6805A4B3-6B7D-4BEB-BB7B-390D865DE058}" presName="textNode" presStyleLbl="node1" presStyleIdx="0" presStyleCnt="3">
        <dgm:presLayoutVars>
          <dgm:bulletEnabled val="1"/>
        </dgm:presLayoutVars>
      </dgm:prSet>
      <dgm:spPr/>
    </dgm:pt>
    <dgm:pt modelId="{B86F9FD7-7ACA-4F4E-82D0-BB2A5D81AC06}" type="pres">
      <dgm:prSet presAssocID="{BF82205C-15AC-4A27-A861-3FC6D98EAFE5}" presName="sibTrans" presStyleCnt="0"/>
      <dgm:spPr/>
    </dgm:pt>
    <dgm:pt modelId="{1869D4EB-B9FA-46B4-B3C8-6FB64127FC1A}" type="pres">
      <dgm:prSet presAssocID="{819ABF86-C3B6-4ED0-8443-5F81F78C1F9E}" presName="textNode" presStyleLbl="node1" presStyleIdx="1" presStyleCnt="3">
        <dgm:presLayoutVars>
          <dgm:bulletEnabled val="1"/>
        </dgm:presLayoutVars>
      </dgm:prSet>
      <dgm:spPr/>
    </dgm:pt>
    <dgm:pt modelId="{9E8FDEE8-271F-4C30-B003-02CC1E017FAD}" type="pres">
      <dgm:prSet presAssocID="{5DC08FE8-A98C-4843-A658-66987FD5A57A}" presName="sibTrans" presStyleCnt="0"/>
      <dgm:spPr/>
    </dgm:pt>
    <dgm:pt modelId="{BC149C16-3F95-480C-A31B-A02FD1E2E47B}" type="pres">
      <dgm:prSet presAssocID="{16DB219C-68F0-4DF3-ABCE-1927344190CD}" presName="textNode" presStyleLbl="node1" presStyleIdx="2" presStyleCnt="3">
        <dgm:presLayoutVars>
          <dgm:bulletEnabled val="1"/>
        </dgm:presLayoutVars>
      </dgm:prSet>
      <dgm:spPr/>
    </dgm:pt>
  </dgm:ptLst>
  <dgm:cxnLst>
    <dgm:cxn modelId="{21BD080D-4E13-43BD-8F74-D10F8F7067C6}" type="presOf" srcId="{D6BAE0AC-4632-4EE3-8D75-26539414BE4A}" destId="{6CD01925-020F-4157-A51F-028F8556E8EF}" srcOrd="0" destOrd="0" presId="urn:microsoft.com/office/officeart/2005/8/layout/hProcess9"/>
    <dgm:cxn modelId="{00775F19-7DB5-4435-BE39-D911C976FE26}" type="presOf" srcId="{E57072F6-DBC2-46D1-B421-065649D0C69F}" destId="{2C5DD9A1-4DAE-43B1-BB0E-DC66453D0FF4}" srcOrd="0" destOrd="2" presId="urn:microsoft.com/office/officeart/2005/8/layout/hProcess9"/>
    <dgm:cxn modelId="{D168F431-E1AD-493D-8B6C-F90D01038741}" srcId="{D6BAE0AC-4632-4EE3-8D75-26539414BE4A}" destId="{16DB219C-68F0-4DF3-ABCE-1927344190CD}" srcOrd="2" destOrd="0" parTransId="{CAB5D5E3-6347-4C92-A05F-C0D5288A8F35}" sibTransId="{CB1CDD51-88A0-47A1-9836-7E362B766DBE}"/>
    <dgm:cxn modelId="{51D0D964-4671-4C2A-B53B-7698188F2540}" srcId="{16DB219C-68F0-4DF3-ABCE-1927344190CD}" destId="{C9D990C6-5B77-4121-AEBA-B9A5ED8DDF94}" srcOrd="3" destOrd="0" parTransId="{841E4C88-1AE7-49A4-9CB0-3744FD426B74}" sibTransId="{24DFC727-0B3D-472C-8A92-87BB927FC30A}"/>
    <dgm:cxn modelId="{910F5F4F-E742-40F3-BFF7-9DE821D05891}" type="presOf" srcId="{F31E8890-3084-481D-912C-C42333581437}" destId="{2C5DD9A1-4DAE-43B1-BB0E-DC66453D0FF4}" srcOrd="0" destOrd="3" presId="urn:microsoft.com/office/officeart/2005/8/layout/hProcess9"/>
    <dgm:cxn modelId="{C93B2D55-4277-474A-B01C-1EAA1F1FCB99}" type="presOf" srcId="{125A8240-23CE-446F-AA26-52EFD9374C42}" destId="{1869D4EB-B9FA-46B4-B3C8-6FB64127FC1A}" srcOrd="0" destOrd="1" presId="urn:microsoft.com/office/officeart/2005/8/layout/hProcess9"/>
    <dgm:cxn modelId="{D4FB7D80-6545-4F97-A5D1-4F6E647FA603}" type="presOf" srcId="{C9D990C6-5B77-4121-AEBA-B9A5ED8DDF94}" destId="{BC149C16-3F95-480C-A31B-A02FD1E2E47B}" srcOrd="0" destOrd="4" presId="urn:microsoft.com/office/officeart/2005/8/layout/hProcess9"/>
    <dgm:cxn modelId="{B5D81487-CC48-4847-A670-46E2982D246B}" type="presOf" srcId="{CF08D726-3809-484A-8627-2C0D7DBAC080}" destId="{BC149C16-3F95-480C-A31B-A02FD1E2E47B}" srcOrd="0" destOrd="1" presId="urn:microsoft.com/office/officeart/2005/8/layout/hProcess9"/>
    <dgm:cxn modelId="{489EDF88-EA25-4E18-8AE8-891824C35343}" type="presOf" srcId="{16DB219C-68F0-4DF3-ABCE-1927344190CD}" destId="{BC149C16-3F95-480C-A31B-A02FD1E2E47B}" srcOrd="0" destOrd="0" presId="urn:microsoft.com/office/officeart/2005/8/layout/hProcess9"/>
    <dgm:cxn modelId="{45A8828F-8312-464E-A346-C7309D21BD9D}" srcId="{D6BAE0AC-4632-4EE3-8D75-26539414BE4A}" destId="{6805A4B3-6B7D-4BEB-BB7B-390D865DE058}" srcOrd="0" destOrd="0" parTransId="{9BCFC4FF-BEC9-460B-B525-0535A4BB8726}" sibTransId="{BF82205C-15AC-4A27-A861-3FC6D98EAFE5}"/>
    <dgm:cxn modelId="{AF0EE992-6287-4AC0-AF56-4468EE4A85C5}" type="presOf" srcId="{6805A4B3-6B7D-4BEB-BB7B-390D865DE058}" destId="{2C5DD9A1-4DAE-43B1-BB0E-DC66453D0FF4}" srcOrd="0" destOrd="0" presId="urn:microsoft.com/office/officeart/2005/8/layout/hProcess9"/>
    <dgm:cxn modelId="{22D0E89F-DEFD-4491-91FE-CE440C2250BF}" type="presOf" srcId="{819ABF86-C3B6-4ED0-8443-5F81F78C1F9E}" destId="{1869D4EB-B9FA-46B4-B3C8-6FB64127FC1A}" srcOrd="0" destOrd="0" presId="urn:microsoft.com/office/officeart/2005/8/layout/hProcess9"/>
    <dgm:cxn modelId="{FFD436AE-0700-4F6D-B6A1-DFEDCB3AD2D4}" srcId="{16DB219C-68F0-4DF3-ABCE-1927344190CD}" destId="{6E6AC716-38BD-4122-BC55-930993CDD434}" srcOrd="1" destOrd="0" parTransId="{89848AEE-07CF-4022-B0F0-DC569747A022}" sibTransId="{D6499BF6-370D-4987-A18E-5D3BA620FBD4}"/>
    <dgm:cxn modelId="{5C0D0DB4-D38E-4713-9DE5-4A08B376F190}" srcId="{16DB219C-68F0-4DF3-ABCE-1927344190CD}" destId="{B4DF7FE5-8FF8-4FE7-99B1-16B37CD9F8F0}" srcOrd="2" destOrd="0" parTransId="{DDCA9AE8-7CEC-4191-A140-63EB0F38358B}" sibTransId="{8251973A-BBBE-4F16-963D-15F5BC8911E2}"/>
    <dgm:cxn modelId="{C7AD86BF-BF18-4E9E-8449-8EA89D94E96B}" srcId="{6805A4B3-6B7D-4BEB-BB7B-390D865DE058}" destId="{453D7754-F6A1-43CD-B332-2CF95B210DBE}" srcOrd="0" destOrd="0" parTransId="{6B9E71A1-6EBC-4292-889A-EA2B636E005E}" sibTransId="{F7A4F75F-498D-4E26-8102-E00CCAA710BD}"/>
    <dgm:cxn modelId="{FAA4A5D0-6C52-4CA5-8DD5-0E69FEB67C29}" srcId="{16DB219C-68F0-4DF3-ABCE-1927344190CD}" destId="{CF08D726-3809-484A-8627-2C0D7DBAC080}" srcOrd="0" destOrd="0" parTransId="{40FA1207-6FBD-43E1-99F9-7EBBA83E8583}" sibTransId="{97D6259D-357C-4E79-A3AD-1F75D32A0381}"/>
    <dgm:cxn modelId="{1E79AAD6-6938-4268-8A4D-5B92A11EA885}" type="presOf" srcId="{B4DF7FE5-8FF8-4FE7-99B1-16B37CD9F8F0}" destId="{BC149C16-3F95-480C-A31B-A02FD1E2E47B}" srcOrd="0" destOrd="3" presId="urn:microsoft.com/office/officeart/2005/8/layout/hProcess9"/>
    <dgm:cxn modelId="{392820E5-EA11-47CF-81FB-73EF1D26ADB6}" srcId="{6805A4B3-6B7D-4BEB-BB7B-390D865DE058}" destId="{F31E8890-3084-481D-912C-C42333581437}" srcOrd="2" destOrd="0" parTransId="{48E816E3-31F9-40B2-9DCC-8873B78A655C}" sibTransId="{EB6A86CC-C3D3-4087-B15C-7B1E7867CEB7}"/>
    <dgm:cxn modelId="{A72FBAEA-8A54-426B-B292-9FD7673B254D}" srcId="{6805A4B3-6B7D-4BEB-BB7B-390D865DE058}" destId="{E57072F6-DBC2-46D1-B421-065649D0C69F}" srcOrd="1" destOrd="0" parTransId="{9A3CDAA0-592B-468A-A06A-7BC85FD40336}" sibTransId="{A5163CA6-A9CB-4B0D-85D1-F5C7D24F412C}"/>
    <dgm:cxn modelId="{B5B91AF7-1F47-4342-A4AE-8E6D41B55151}" type="presOf" srcId="{453D7754-F6A1-43CD-B332-2CF95B210DBE}" destId="{2C5DD9A1-4DAE-43B1-BB0E-DC66453D0FF4}" srcOrd="0" destOrd="1" presId="urn:microsoft.com/office/officeart/2005/8/layout/hProcess9"/>
    <dgm:cxn modelId="{75EDA3FA-FB6F-4942-8194-F599BC8A050C}" type="presOf" srcId="{6E6AC716-38BD-4122-BC55-930993CDD434}" destId="{BC149C16-3F95-480C-A31B-A02FD1E2E47B}" srcOrd="0" destOrd="2" presId="urn:microsoft.com/office/officeart/2005/8/layout/hProcess9"/>
    <dgm:cxn modelId="{EEE4E5FB-4B04-4E57-BB6A-2004DC3AE37D}" srcId="{819ABF86-C3B6-4ED0-8443-5F81F78C1F9E}" destId="{125A8240-23CE-446F-AA26-52EFD9374C42}" srcOrd="0" destOrd="0" parTransId="{063D34BB-4FD7-4A55-981E-E7FCB3B9D5B4}" sibTransId="{55093139-1B1D-4AE2-BA18-F1F114F8E3DD}"/>
    <dgm:cxn modelId="{B922DDFD-5AF9-4ABB-8694-841AF84581C5}" srcId="{D6BAE0AC-4632-4EE3-8D75-26539414BE4A}" destId="{819ABF86-C3B6-4ED0-8443-5F81F78C1F9E}" srcOrd="1" destOrd="0" parTransId="{C8768A23-991B-477A-9786-1409AC11ED8E}" sibTransId="{5DC08FE8-A98C-4843-A658-66987FD5A57A}"/>
    <dgm:cxn modelId="{A4D82879-92B3-4B6A-A00C-CC0B3A5933C8}" type="presParOf" srcId="{6CD01925-020F-4157-A51F-028F8556E8EF}" destId="{97BD54A5-E784-41F6-8BE9-3BF0B29EDC1C}" srcOrd="0" destOrd="0" presId="urn:microsoft.com/office/officeart/2005/8/layout/hProcess9"/>
    <dgm:cxn modelId="{7EAF5B74-74F3-4EFF-827E-55C954BD70DA}" type="presParOf" srcId="{6CD01925-020F-4157-A51F-028F8556E8EF}" destId="{BE90F0FF-C953-4378-94A2-0761280450D2}" srcOrd="1" destOrd="0" presId="urn:microsoft.com/office/officeart/2005/8/layout/hProcess9"/>
    <dgm:cxn modelId="{D2655C19-25BF-4218-B2AE-3A035911DD08}" type="presParOf" srcId="{BE90F0FF-C953-4378-94A2-0761280450D2}" destId="{2C5DD9A1-4DAE-43B1-BB0E-DC66453D0FF4}" srcOrd="0" destOrd="0" presId="urn:microsoft.com/office/officeart/2005/8/layout/hProcess9"/>
    <dgm:cxn modelId="{385A40AA-5C9A-40F6-8E39-7D59ADCE086A}" type="presParOf" srcId="{BE90F0FF-C953-4378-94A2-0761280450D2}" destId="{B86F9FD7-7ACA-4F4E-82D0-BB2A5D81AC06}" srcOrd="1" destOrd="0" presId="urn:microsoft.com/office/officeart/2005/8/layout/hProcess9"/>
    <dgm:cxn modelId="{FFB78CD4-92A9-4A0A-8823-51C6807E758C}" type="presParOf" srcId="{BE90F0FF-C953-4378-94A2-0761280450D2}" destId="{1869D4EB-B9FA-46B4-B3C8-6FB64127FC1A}" srcOrd="2" destOrd="0" presId="urn:microsoft.com/office/officeart/2005/8/layout/hProcess9"/>
    <dgm:cxn modelId="{7CF0B7A6-5C24-40D4-BE5F-1B03DCA0B60A}" type="presParOf" srcId="{BE90F0FF-C953-4378-94A2-0761280450D2}" destId="{9E8FDEE8-271F-4C30-B003-02CC1E017FAD}" srcOrd="3" destOrd="0" presId="urn:microsoft.com/office/officeart/2005/8/layout/hProcess9"/>
    <dgm:cxn modelId="{4622F4BA-0715-4ECC-8C11-57BDC84356C0}" type="presParOf" srcId="{BE90F0FF-C953-4378-94A2-0761280450D2}" destId="{BC149C16-3F95-480C-A31B-A02FD1E2E47B}" srcOrd="4" destOrd="0" presId="urn:microsoft.com/office/officeart/2005/8/layout/hProcess9"/>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BD54A5-E784-41F6-8BE9-3BF0B29EDC1C}">
      <dsp:nvSpPr>
        <dsp:cNvPr id="0" name=""/>
        <dsp:cNvSpPr/>
      </dsp:nvSpPr>
      <dsp:spPr>
        <a:xfrm>
          <a:off x="395573" y="0"/>
          <a:ext cx="4483163" cy="3076574"/>
        </a:xfrm>
        <a:prstGeom prst="rightArrow">
          <a:avLst/>
        </a:prstGeom>
        <a:gradFill flip="none" rotWithShape="1">
          <a:gsLst>
            <a:gs pos="0">
              <a:schemeClr val="accent5">
                <a:tint val="40000"/>
                <a:hueOff val="0"/>
                <a:satOff val="0"/>
                <a:lumOff val="0"/>
                <a:shade val="30000"/>
                <a:satMod val="115000"/>
              </a:schemeClr>
            </a:gs>
            <a:gs pos="50000">
              <a:schemeClr val="accent5">
                <a:tint val="40000"/>
                <a:hueOff val="0"/>
                <a:satOff val="0"/>
                <a:lumOff val="0"/>
                <a:shade val="67500"/>
                <a:satMod val="115000"/>
              </a:schemeClr>
            </a:gs>
            <a:gs pos="100000">
              <a:schemeClr val="accent5">
                <a:tint val="40000"/>
                <a:hueOff val="0"/>
                <a:satOff val="0"/>
                <a:lumOff val="0"/>
                <a:shade val="100000"/>
                <a:satMod val="115000"/>
              </a:schemeClr>
            </a:gs>
          </a:gsLst>
          <a:path path="circle">
            <a:fillToRect l="50000" t="50000" r="50000" b="50000"/>
          </a:path>
          <a:tileRect/>
        </a:gradFill>
        <a:ln>
          <a:noFill/>
        </a:ln>
        <a:effectLst/>
      </dsp:spPr>
      <dsp:style>
        <a:lnRef idx="0">
          <a:scrgbClr r="0" g="0" b="0"/>
        </a:lnRef>
        <a:fillRef idx="1">
          <a:scrgbClr r="0" g="0" b="0"/>
        </a:fillRef>
        <a:effectRef idx="0">
          <a:scrgbClr r="0" g="0" b="0"/>
        </a:effectRef>
        <a:fontRef idx="minor"/>
      </dsp:style>
    </dsp:sp>
    <dsp:sp modelId="{2C5DD9A1-4DAE-43B1-BB0E-DC66453D0FF4}">
      <dsp:nvSpPr>
        <dsp:cNvPr id="0" name=""/>
        <dsp:cNvSpPr/>
      </dsp:nvSpPr>
      <dsp:spPr>
        <a:xfrm>
          <a:off x="158641" y="922972"/>
          <a:ext cx="1582293" cy="1230629"/>
        </a:xfrm>
        <a:prstGeom prst="roundRect">
          <a:avLst/>
        </a:prstGeom>
        <a:gradFill flip="none" rotWithShape="0">
          <a:gsLst>
            <a:gs pos="0">
              <a:schemeClr val="accent5">
                <a:hueOff val="0"/>
                <a:satOff val="0"/>
                <a:lumOff val="0"/>
                <a:shade val="30000"/>
                <a:satMod val="115000"/>
              </a:schemeClr>
            </a:gs>
            <a:gs pos="50000">
              <a:schemeClr val="accent5">
                <a:hueOff val="0"/>
                <a:satOff val="0"/>
                <a:lumOff val="0"/>
                <a:shade val="67500"/>
                <a:satMod val="115000"/>
              </a:schemeClr>
            </a:gs>
            <a:gs pos="100000">
              <a:schemeClr val="accent5">
                <a:hueOff val="0"/>
                <a:satOff val="0"/>
                <a:lumOff val="0"/>
                <a:shade val="100000"/>
                <a:satMod val="115000"/>
              </a:schemeClr>
            </a:gs>
          </a:gsLst>
          <a:lin ang="2700000" scaled="1"/>
          <a:tileRect/>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t" anchorCtr="0">
          <a:noAutofit/>
        </a:bodyPr>
        <a:lstStyle/>
        <a:p>
          <a:pPr marL="0" lvl="0" indent="0" algn="l" defTabSz="577850">
            <a:lnSpc>
              <a:spcPct val="90000"/>
            </a:lnSpc>
            <a:spcBef>
              <a:spcPct val="0"/>
            </a:spcBef>
            <a:spcAft>
              <a:spcPct val="35000"/>
            </a:spcAft>
            <a:buNone/>
          </a:pPr>
          <a:r>
            <a:rPr lang="zh-CN" altLang="en-US" sz="1300" kern="1200"/>
            <a:t>上游原料</a:t>
          </a:r>
        </a:p>
        <a:p>
          <a:pPr marL="57150" lvl="1" indent="-57150" algn="l" defTabSz="444500">
            <a:lnSpc>
              <a:spcPct val="90000"/>
            </a:lnSpc>
            <a:spcBef>
              <a:spcPct val="0"/>
            </a:spcBef>
            <a:spcAft>
              <a:spcPct val="15000"/>
            </a:spcAft>
            <a:buChar char="•"/>
          </a:pPr>
          <a:r>
            <a:rPr lang="zh-CN" altLang="en-US" sz="1000" kern="1200"/>
            <a:t>添加剂</a:t>
          </a:r>
        </a:p>
        <a:p>
          <a:pPr marL="57150" lvl="1" indent="-57150" algn="l" defTabSz="444500">
            <a:lnSpc>
              <a:spcPct val="90000"/>
            </a:lnSpc>
            <a:spcBef>
              <a:spcPct val="0"/>
            </a:spcBef>
            <a:spcAft>
              <a:spcPct val="15000"/>
            </a:spcAft>
            <a:buChar char="•"/>
          </a:pPr>
          <a:r>
            <a:rPr lang="zh-CN" altLang="en-US" sz="1000" kern="1200"/>
            <a:t>乳制品</a:t>
          </a:r>
        </a:p>
        <a:p>
          <a:pPr marL="57150" lvl="1" indent="-57150" algn="l" defTabSz="444500">
            <a:lnSpc>
              <a:spcPct val="90000"/>
            </a:lnSpc>
            <a:spcBef>
              <a:spcPct val="0"/>
            </a:spcBef>
            <a:spcAft>
              <a:spcPct val="15000"/>
            </a:spcAft>
            <a:buChar char="•"/>
          </a:pPr>
          <a:r>
            <a:rPr lang="zh-CN" altLang="en-US" sz="1000" kern="1200"/>
            <a:t>包装材料等</a:t>
          </a:r>
        </a:p>
      </dsp:txBody>
      <dsp:txXfrm>
        <a:off x="218715" y="983046"/>
        <a:ext cx="1462145" cy="1110481"/>
      </dsp:txXfrm>
    </dsp:sp>
    <dsp:sp modelId="{1869D4EB-B9FA-46B4-B3C8-6FB64127FC1A}">
      <dsp:nvSpPr>
        <dsp:cNvPr id="0" name=""/>
        <dsp:cNvSpPr/>
      </dsp:nvSpPr>
      <dsp:spPr>
        <a:xfrm>
          <a:off x="1846008" y="922972"/>
          <a:ext cx="1582293" cy="1230629"/>
        </a:xfrm>
        <a:prstGeom prst="roundRect">
          <a:avLst/>
        </a:prstGeom>
        <a:gradFill flip="none" rotWithShape="0">
          <a:gsLst>
            <a:gs pos="0">
              <a:schemeClr val="accent5">
                <a:hueOff val="-3379271"/>
                <a:satOff val="-8710"/>
                <a:lumOff val="-5883"/>
                <a:shade val="30000"/>
                <a:satMod val="115000"/>
              </a:schemeClr>
            </a:gs>
            <a:gs pos="50000">
              <a:schemeClr val="accent5">
                <a:hueOff val="-3379271"/>
                <a:satOff val="-8710"/>
                <a:lumOff val="-5883"/>
                <a:shade val="67500"/>
                <a:satMod val="115000"/>
              </a:schemeClr>
            </a:gs>
            <a:gs pos="100000">
              <a:schemeClr val="accent5">
                <a:hueOff val="-3379271"/>
                <a:satOff val="-8710"/>
                <a:lumOff val="-5883"/>
                <a:shade val="100000"/>
                <a:satMod val="115000"/>
              </a:schemeClr>
            </a:gs>
          </a:gsLst>
          <a:lin ang="2700000" scaled="1"/>
          <a:tileRect/>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t" anchorCtr="0">
          <a:noAutofit/>
        </a:bodyPr>
        <a:lstStyle/>
        <a:p>
          <a:pPr marL="0" lvl="0" indent="0" algn="l" defTabSz="577850">
            <a:lnSpc>
              <a:spcPct val="90000"/>
            </a:lnSpc>
            <a:spcBef>
              <a:spcPct val="0"/>
            </a:spcBef>
            <a:spcAft>
              <a:spcPct val="35000"/>
            </a:spcAft>
            <a:buNone/>
          </a:pPr>
          <a:r>
            <a:rPr lang="zh-CN" altLang="en-US" sz="1300" kern="1200"/>
            <a:t>本行业</a:t>
          </a:r>
        </a:p>
        <a:p>
          <a:pPr marL="57150" lvl="1" indent="-57150" algn="l" defTabSz="444500">
            <a:lnSpc>
              <a:spcPct val="90000"/>
            </a:lnSpc>
            <a:spcBef>
              <a:spcPct val="0"/>
            </a:spcBef>
            <a:spcAft>
              <a:spcPct val="15000"/>
            </a:spcAft>
            <a:buChar char="•"/>
          </a:pPr>
          <a:r>
            <a:rPr lang="zh-CN" altLang="en-US" sz="1000" kern="1200"/>
            <a:t>乳酸菌饮品</a:t>
          </a:r>
        </a:p>
      </dsp:txBody>
      <dsp:txXfrm>
        <a:off x="1906082" y="983046"/>
        <a:ext cx="1462145" cy="1110481"/>
      </dsp:txXfrm>
    </dsp:sp>
    <dsp:sp modelId="{BC149C16-3F95-480C-A31B-A02FD1E2E47B}">
      <dsp:nvSpPr>
        <dsp:cNvPr id="0" name=""/>
        <dsp:cNvSpPr/>
      </dsp:nvSpPr>
      <dsp:spPr>
        <a:xfrm>
          <a:off x="3533375" y="922972"/>
          <a:ext cx="1582293" cy="1230629"/>
        </a:xfrm>
        <a:prstGeom prst="roundRect">
          <a:avLst/>
        </a:prstGeom>
        <a:gradFill flip="none" rotWithShape="0">
          <a:gsLst>
            <a:gs pos="0">
              <a:schemeClr val="accent5">
                <a:hueOff val="-6758543"/>
                <a:satOff val="-17419"/>
                <a:lumOff val="-11765"/>
                <a:shade val="30000"/>
                <a:satMod val="115000"/>
              </a:schemeClr>
            </a:gs>
            <a:gs pos="50000">
              <a:schemeClr val="accent5">
                <a:hueOff val="-6758543"/>
                <a:satOff val="-17419"/>
                <a:lumOff val="-11765"/>
                <a:shade val="67500"/>
                <a:satMod val="115000"/>
              </a:schemeClr>
            </a:gs>
            <a:gs pos="100000">
              <a:schemeClr val="accent5">
                <a:hueOff val="-6758543"/>
                <a:satOff val="-17419"/>
                <a:lumOff val="-11765"/>
                <a:shade val="100000"/>
                <a:satMod val="115000"/>
              </a:schemeClr>
            </a:gs>
          </a:gsLst>
          <a:lin ang="2700000" scaled="1"/>
          <a:tileRect/>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t" anchorCtr="0">
          <a:noAutofit/>
        </a:bodyPr>
        <a:lstStyle/>
        <a:p>
          <a:pPr marL="0" lvl="0" indent="0" algn="l" defTabSz="577850">
            <a:lnSpc>
              <a:spcPct val="90000"/>
            </a:lnSpc>
            <a:spcBef>
              <a:spcPct val="0"/>
            </a:spcBef>
            <a:spcAft>
              <a:spcPct val="35000"/>
            </a:spcAft>
            <a:buNone/>
          </a:pPr>
          <a:r>
            <a:rPr lang="zh-CN" altLang="en-US" sz="1300" kern="1200"/>
            <a:t>下游应用</a:t>
          </a:r>
        </a:p>
        <a:p>
          <a:pPr marL="57150" lvl="1" indent="-57150" algn="l" defTabSz="444500">
            <a:lnSpc>
              <a:spcPct val="90000"/>
            </a:lnSpc>
            <a:spcBef>
              <a:spcPct val="0"/>
            </a:spcBef>
            <a:spcAft>
              <a:spcPct val="15000"/>
            </a:spcAft>
            <a:buChar char="•"/>
          </a:pPr>
          <a:r>
            <a:rPr lang="zh-CN" altLang="en-US" sz="1000" kern="1200"/>
            <a:t>商超</a:t>
          </a:r>
        </a:p>
        <a:p>
          <a:pPr marL="57150" lvl="1" indent="-57150" algn="l" defTabSz="444500">
            <a:lnSpc>
              <a:spcPct val="90000"/>
            </a:lnSpc>
            <a:spcBef>
              <a:spcPct val="0"/>
            </a:spcBef>
            <a:spcAft>
              <a:spcPct val="15000"/>
            </a:spcAft>
            <a:buChar char="•"/>
          </a:pPr>
          <a:r>
            <a:rPr lang="zh-CN" altLang="en-US" sz="1000" kern="1200"/>
            <a:t>便利店</a:t>
          </a:r>
        </a:p>
        <a:p>
          <a:pPr marL="57150" lvl="1" indent="-57150" algn="l" defTabSz="444500">
            <a:lnSpc>
              <a:spcPct val="90000"/>
            </a:lnSpc>
            <a:spcBef>
              <a:spcPct val="0"/>
            </a:spcBef>
            <a:spcAft>
              <a:spcPct val="15000"/>
            </a:spcAft>
            <a:buChar char="•"/>
          </a:pPr>
          <a:r>
            <a:rPr lang="zh-CN" altLang="en-US" sz="1000" kern="1200"/>
            <a:t>大卖场</a:t>
          </a:r>
        </a:p>
        <a:p>
          <a:pPr marL="57150" lvl="1" indent="-57150" algn="l" defTabSz="444500">
            <a:lnSpc>
              <a:spcPct val="90000"/>
            </a:lnSpc>
            <a:spcBef>
              <a:spcPct val="0"/>
            </a:spcBef>
            <a:spcAft>
              <a:spcPct val="15000"/>
            </a:spcAft>
            <a:buChar char="•"/>
          </a:pPr>
          <a:r>
            <a:rPr lang="zh-CN" altLang="en-US" sz="1000" kern="1200"/>
            <a:t>电商等</a:t>
          </a:r>
        </a:p>
      </dsp:txBody>
      <dsp:txXfrm>
        <a:off x="3593449" y="983046"/>
        <a:ext cx="1462145" cy="1110481"/>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713</Words>
  <Characters>4069</Characters>
  <Application>Microsoft Office Word</Application>
  <DocSecurity>0</DocSecurity>
  <Lines>33</Lines>
  <Paragraphs>9</Paragraphs>
  <ScaleCrop>false</ScaleCrop>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2020-08-09T08:21:00Z</dcterms:created>
  <dcterms:modified xsi:type="dcterms:W3CDTF">2020-08-09T08:37:00Z</dcterms:modified>
</cp:coreProperties>
</file>