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468" w:rsidRPr="00BA76B8" w:rsidRDefault="0025446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浓缩农作物油</w:t>
      </w: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浓缩农作物油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PHW2467454</w:t>
      </w: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浓缩农作物油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细分市场界定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行业现状分析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行业市场规模分析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浓缩农作物油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市场竞争格局情况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浓缩农作物油</w:t>
      </w:r>
      <w:r w:rsidRPr="00BA76B8">
        <w:rPr>
          <w:rFonts w:ascii="微软雅黑" w:eastAsia="微软雅黑" w:hAnsi="微软雅黑"/>
        </w:rPr>
        <w:t>市场占有率分析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</w:p>
    <w:p w:rsidR="00254468" w:rsidRPr="00BA76B8" w:rsidRDefault="00254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468" w:rsidRPr="00BA76B8" w:rsidRDefault="00254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468" w:rsidRDefault="00254468" w:rsidP="00C44621">
      <w:pPr>
        <w:rPr>
          <w:rFonts w:ascii="微软雅黑" w:eastAsia="微软雅黑" w:hAnsi="微软雅黑"/>
        </w:rPr>
        <w:sectPr w:rsidR="0025446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04F3" w:rsidRDefault="00F404F3"/>
    <w:sectPr w:rsidR="00F40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68"/>
    <w:rsid w:val="00254468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4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