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42" w:rsidRPr="00BA76B8" w:rsidRDefault="00EB7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铜深加工</w:t>
      </w: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PHW2461405</w:t>
      </w: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细分市场界定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行业现状分析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行业市场规模分析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市场竞争格局情况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铜深加工</w:t>
      </w:r>
      <w:r w:rsidRPr="00BA76B8">
        <w:rPr>
          <w:rFonts w:ascii="微软雅黑" w:eastAsia="微软雅黑" w:hAnsi="微软雅黑"/>
        </w:rPr>
        <w:t>市场占有率分析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</w:p>
    <w:p w:rsidR="00EB7742" w:rsidRPr="00BA76B8" w:rsidRDefault="00EB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7742" w:rsidRPr="00BA76B8" w:rsidRDefault="00EB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7742" w:rsidRDefault="00EB7742" w:rsidP="00C44621">
      <w:pPr>
        <w:rPr>
          <w:rFonts w:ascii="微软雅黑" w:eastAsia="微软雅黑" w:hAnsi="微软雅黑"/>
        </w:rPr>
        <w:sectPr w:rsidR="00EB774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5A4D" w:rsidRDefault="00225A4D"/>
    <w:sectPr w:rsidR="0022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42"/>
    <w:rsid w:val="00225A4D"/>
    <w:rsid w:val="00E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